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D45DD" w14:textId="162049D6" w:rsidR="00FF5059" w:rsidRPr="006E537A" w:rsidRDefault="001B5E4A" w:rsidP="00B22487">
      <w:pPr>
        <w:pStyle w:val="Title"/>
        <w:rPr>
          <w:b/>
          <w:sz w:val="22"/>
          <w:szCs w:val="22"/>
        </w:rPr>
      </w:pPr>
      <w:r w:rsidRPr="006E537A">
        <w:rPr>
          <w:b/>
          <w:sz w:val="22"/>
          <w:szCs w:val="22"/>
        </w:rPr>
        <w:t>PUC PROJECT NO. 55566</w:t>
      </w:r>
    </w:p>
    <w:p w14:paraId="31DDE53C" w14:textId="77777777" w:rsidR="00FF5059" w:rsidRPr="006E537A" w:rsidRDefault="00FF5059" w:rsidP="00B22487">
      <w:pPr>
        <w:pStyle w:val="Title"/>
        <w:rPr>
          <w:b/>
          <w:sz w:val="22"/>
          <w:szCs w:val="22"/>
        </w:rPr>
      </w:pPr>
    </w:p>
    <w:tbl>
      <w:tblPr>
        <w:tblW w:w="9375" w:type="dxa"/>
        <w:tblLook w:val="04A0" w:firstRow="1" w:lastRow="0" w:firstColumn="1" w:lastColumn="0" w:noHBand="0" w:noVBand="1"/>
      </w:tblPr>
      <w:tblGrid>
        <w:gridCol w:w="4247"/>
        <w:gridCol w:w="989"/>
        <w:gridCol w:w="4139"/>
      </w:tblGrid>
      <w:tr w:rsidR="00FF5059" w:rsidRPr="006E537A" w14:paraId="672ADAD5" w14:textId="77777777" w:rsidTr="00DB5962">
        <w:trPr>
          <w:trHeight w:val="722"/>
        </w:trPr>
        <w:tc>
          <w:tcPr>
            <w:tcW w:w="4247" w:type="dxa"/>
            <w:shd w:val="clear" w:color="auto" w:fill="auto"/>
          </w:tcPr>
          <w:p w14:paraId="5B6A906F" w14:textId="77777777" w:rsidR="00FF5059" w:rsidRPr="006E537A" w:rsidRDefault="001B5E4A" w:rsidP="00B22487">
            <w:pPr>
              <w:pStyle w:val="Title"/>
              <w:jc w:val="left"/>
              <w:rPr>
                <w:b/>
                <w:sz w:val="22"/>
                <w:szCs w:val="22"/>
              </w:rPr>
            </w:pPr>
            <w:r w:rsidRPr="006E537A">
              <w:rPr>
                <w:b/>
                <w:sz w:val="22"/>
                <w:szCs w:val="22"/>
              </w:rPr>
              <w:t>GENERATION INTERCONNECTION</w:t>
            </w:r>
          </w:p>
          <w:p w14:paraId="28B0003F" w14:textId="70FBFD7B" w:rsidR="001B5E4A" w:rsidRPr="006E537A" w:rsidRDefault="001B5E4A" w:rsidP="00B22487">
            <w:pPr>
              <w:pStyle w:val="Title"/>
              <w:jc w:val="left"/>
              <w:rPr>
                <w:b/>
                <w:sz w:val="22"/>
                <w:szCs w:val="22"/>
              </w:rPr>
            </w:pPr>
            <w:r w:rsidRPr="006E537A">
              <w:rPr>
                <w:b/>
                <w:sz w:val="22"/>
                <w:szCs w:val="22"/>
              </w:rPr>
              <w:t>ALLOWANCE</w:t>
            </w:r>
          </w:p>
        </w:tc>
        <w:tc>
          <w:tcPr>
            <w:tcW w:w="989" w:type="dxa"/>
            <w:shd w:val="clear" w:color="auto" w:fill="auto"/>
          </w:tcPr>
          <w:p w14:paraId="03063560" w14:textId="77777777" w:rsidR="00FF5059" w:rsidRPr="006E537A" w:rsidRDefault="00FF5059" w:rsidP="00B22487">
            <w:pPr>
              <w:pStyle w:val="Title"/>
              <w:rPr>
                <w:b/>
                <w:sz w:val="22"/>
                <w:szCs w:val="22"/>
              </w:rPr>
            </w:pPr>
            <w:r w:rsidRPr="006E537A">
              <w:rPr>
                <w:b/>
                <w:sz w:val="22"/>
                <w:szCs w:val="22"/>
              </w:rPr>
              <w:t>§</w:t>
            </w:r>
          </w:p>
          <w:p w14:paraId="203A581A" w14:textId="77777777" w:rsidR="00FF5059" w:rsidRPr="006E537A" w:rsidRDefault="00FF5059" w:rsidP="00B22487">
            <w:pPr>
              <w:pStyle w:val="Title"/>
              <w:rPr>
                <w:b/>
                <w:sz w:val="22"/>
                <w:szCs w:val="22"/>
              </w:rPr>
            </w:pPr>
            <w:r w:rsidRPr="006E537A">
              <w:rPr>
                <w:b/>
                <w:sz w:val="22"/>
                <w:szCs w:val="22"/>
              </w:rPr>
              <w:t>§</w:t>
            </w:r>
          </w:p>
        </w:tc>
        <w:tc>
          <w:tcPr>
            <w:tcW w:w="4139" w:type="dxa"/>
            <w:shd w:val="clear" w:color="auto" w:fill="auto"/>
          </w:tcPr>
          <w:p w14:paraId="7952A813" w14:textId="77777777" w:rsidR="00FF5059" w:rsidRPr="006E537A" w:rsidRDefault="00FF5059" w:rsidP="00B22487">
            <w:pPr>
              <w:pStyle w:val="Title"/>
              <w:rPr>
                <w:b/>
                <w:sz w:val="22"/>
                <w:szCs w:val="22"/>
              </w:rPr>
            </w:pPr>
            <w:r w:rsidRPr="006E537A">
              <w:rPr>
                <w:b/>
                <w:sz w:val="22"/>
                <w:szCs w:val="22"/>
              </w:rPr>
              <w:t>PUBLIC UTILITY COMMISSION</w:t>
            </w:r>
          </w:p>
          <w:p w14:paraId="7306CE72" w14:textId="77777777" w:rsidR="00FF5059" w:rsidRPr="006E537A" w:rsidRDefault="00FF5059" w:rsidP="00B22487">
            <w:pPr>
              <w:pStyle w:val="Title"/>
              <w:rPr>
                <w:b/>
                <w:sz w:val="22"/>
                <w:szCs w:val="22"/>
              </w:rPr>
            </w:pPr>
            <w:r w:rsidRPr="006E537A">
              <w:rPr>
                <w:b/>
                <w:sz w:val="22"/>
                <w:szCs w:val="22"/>
              </w:rPr>
              <w:t>OF TEXAS</w:t>
            </w:r>
          </w:p>
        </w:tc>
      </w:tr>
    </w:tbl>
    <w:p w14:paraId="7219FB1D" w14:textId="77777777" w:rsidR="00CF7776" w:rsidRPr="006E537A" w:rsidRDefault="00CF7776" w:rsidP="00B22487">
      <w:pPr>
        <w:pStyle w:val="Caption"/>
        <w:ind w:right="-270"/>
        <w:jc w:val="both"/>
        <w:rPr>
          <w:sz w:val="22"/>
          <w:szCs w:val="22"/>
        </w:rPr>
      </w:pPr>
    </w:p>
    <w:p w14:paraId="69C36A4A" w14:textId="35E95200" w:rsidR="00CF7776" w:rsidRPr="006E537A" w:rsidRDefault="00552F98" w:rsidP="00B22487">
      <w:pPr>
        <w:pStyle w:val="Caption"/>
        <w:ind w:right="-270"/>
        <w:rPr>
          <w:rFonts w:ascii="Times New Roman Bold" w:hAnsi="Times New Roman Bold"/>
          <w:caps/>
          <w:sz w:val="22"/>
          <w:szCs w:val="22"/>
          <w:u w:val="single"/>
        </w:rPr>
      </w:pPr>
      <w:r>
        <w:rPr>
          <w:caps/>
          <w:sz w:val="22"/>
          <w:szCs w:val="22"/>
          <w:u w:val="single"/>
        </w:rPr>
        <w:t>TCPA’s</w:t>
      </w:r>
      <w:r w:rsidR="00CF7776" w:rsidRPr="006E537A">
        <w:rPr>
          <w:caps/>
          <w:sz w:val="22"/>
          <w:szCs w:val="22"/>
          <w:u w:val="single"/>
        </w:rPr>
        <w:t xml:space="preserve"> </w:t>
      </w:r>
      <w:r w:rsidR="004D3E50">
        <w:rPr>
          <w:caps/>
          <w:sz w:val="22"/>
          <w:szCs w:val="22"/>
          <w:u w:val="single"/>
        </w:rPr>
        <w:t>REPLY COMMENTS TO</w:t>
      </w:r>
      <w:r w:rsidR="001B5E4A" w:rsidRPr="006E537A">
        <w:rPr>
          <w:caps/>
          <w:sz w:val="22"/>
          <w:szCs w:val="22"/>
          <w:u w:val="single"/>
        </w:rPr>
        <w:t xml:space="preserve"> </w:t>
      </w:r>
      <w:r w:rsidR="004D3E50">
        <w:rPr>
          <w:caps/>
          <w:sz w:val="22"/>
          <w:szCs w:val="22"/>
          <w:u w:val="single"/>
        </w:rPr>
        <w:t>STAKEHOLDER COMMENT</w:t>
      </w:r>
      <w:r w:rsidR="00355442" w:rsidRPr="006E537A">
        <w:rPr>
          <w:caps/>
          <w:sz w:val="22"/>
          <w:szCs w:val="22"/>
          <w:u w:val="single"/>
        </w:rPr>
        <w:t>s</w:t>
      </w:r>
      <w:r w:rsidR="004D3E50">
        <w:rPr>
          <w:caps/>
          <w:sz w:val="22"/>
          <w:szCs w:val="22"/>
          <w:u w:val="single"/>
        </w:rPr>
        <w:t xml:space="preserve"> FILED ON OCTOBER 13, 2023</w:t>
      </w:r>
    </w:p>
    <w:p w14:paraId="08D18250" w14:textId="50544C67" w:rsidR="00CF7776" w:rsidRPr="006E537A" w:rsidRDefault="00CF7776" w:rsidP="00B22487">
      <w:pPr>
        <w:spacing w:after="0" w:line="480" w:lineRule="auto"/>
        <w:jc w:val="center"/>
        <w:rPr>
          <w:sz w:val="22"/>
        </w:rPr>
      </w:pPr>
    </w:p>
    <w:p w14:paraId="18C5CC13" w14:textId="0A43DDE1" w:rsidR="002D2CE5" w:rsidRDefault="00552F98" w:rsidP="00A53E86">
      <w:pPr>
        <w:spacing w:line="480" w:lineRule="auto"/>
        <w:ind w:firstLine="360"/>
        <w:rPr>
          <w:rFonts w:cs="Times New Roman"/>
        </w:rPr>
      </w:pPr>
      <w:r>
        <w:rPr>
          <w:rFonts w:cs="Times New Roman"/>
        </w:rPr>
        <w:t>Texas Competitive Power Advocates (“TCPA”)</w:t>
      </w:r>
      <w:r>
        <w:rPr>
          <w:rStyle w:val="FootnoteReference"/>
        </w:rPr>
        <w:footnoteReference w:id="1"/>
      </w:r>
      <w:r w:rsidRPr="00C36738">
        <w:rPr>
          <w:rFonts w:cs="Times New Roman"/>
        </w:rPr>
        <w:t xml:space="preserve"> </w:t>
      </w:r>
      <w:r>
        <w:rPr>
          <w:rFonts w:cs="Times New Roman"/>
        </w:rPr>
        <w:t xml:space="preserve">appreciates the opportunity to provide </w:t>
      </w:r>
      <w:r w:rsidR="004D3E50">
        <w:rPr>
          <w:rFonts w:cs="Times New Roman"/>
        </w:rPr>
        <w:t xml:space="preserve">reply </w:t>
      </w:r>
      <w:r>
        <w:rPr>
          <w:rFonts w:cs="Times New Roman"/>
        </w:rPr>
        <w:t>comment</w:t>
      </w:r>
      <w:r w:rsidR="00BC1A1E">
        <w:rPr>
          <w:rFonts w:cs="Times New Roman"/>
        </w:rPr>
        <w:t>s</w:t>
      </w:r>
      <w:r>
        <w:rPr>
          <w:rFonts w:cs="Times New Roman"/>
        </w:rPr>
        <w:t xml:space="preserve"> </w:t>
      </w:r>
      <w:r w:rsidR="004D3E50">
        <w:rPr>
          <w:rFonts w:cs="Times New Roman"/>
        </w:rPr>
        <w:t>on t</w:t>
      </w:r>
      <w:r w:rsidR="002D2CE5">
        <w:rPr>
          <w:rFonts w:cs="Times New Roman"/>
        </w:rPr>
        <w:t>hree</w:t>
      </w:r>
      <w:r w:rsidR="004D3E50">
        <w:rPr>
          <w:rFonts w:cs="Times New Roman"/>
        </w:rPr>
        <w:t xml:space="preserve"> areas addressed in stakeholder comments filed on October 13, </w:t>
      </w:r>
      <w:proofErr w:type="gramStart"/>
      <w:r w:rsidR="004D3E50">
        <w:rPr>
          <w:rFonts w:cs="Times New Roman"/>
        </w:rPr>
        <w:t>2023</w:t>
      </w:r>
      <w:proofErr w:type="gramEnd"/>
      <w:r w:rsidR="004D3E50">
        <w:rPr>
          <w:rFonts w:cs="Times New Roman"/>
        </w:rPr>
        <w:t xml:space="preserve"> in response to S</w:t>
      </w:r>
      <w:r>
        <w:rPr>
          <w:rFonts w:cs="Times New Roman"/>
        </w:rPr>
        <w:t>taff</w:t>
      </w:r>
      <w:r w:rsidR="00BC1A1E">
        <w:rPr>
          <w:rFonts w:cs="Times New Roman"/>
        </w:rPr>
        <w:t>’s</w:t>
      </w:r>
      <w:r>
        <w:rPr>
          <w:rFonts w:cs="Times New Roman"/>
        </w:rPr>
        <w:t xml:space="preserve"> questions for implementing the generation interconnection allowance as enacted in H</w:t>
      </w:r>
      <w:r w:rsidR="008A34AF">
        <w:rPr>
          <w:rFonts w:cs="Times New Roman"/>
        </w:rPr>
        <w:t xml:space="preserve">ouse </w:t>
      </w:r>
      <w:r>
        <w:rPr>
          <w:rFonts w:cs="Times New Roman"/>
        </w:rPr>
        <w:t>B</w:t>
      </w:r>
      <w:r w:rsidR="008A34AF">
        <w:rPr>
          <w:rFonts w:cs="Times New Roman"/>
        </w:rPr>
        <w:t>ill</w:t>
      </w:r>
      <w:r>
        <w:rPr>
          <w:rFonts w:cs="Times New Roman"/>
        </w:rPr>
        <w:t xml:space="preserve"> </w:t>
      </w:r>
      <w:r w:rsidR="008A34AF">
        <w:rPr>
          <w:rFonts w:cs="Times New Roman"/>
        </w:rPr>
        <w:t>(</w:t>
      </w:r>
      <w:r w:rsidR="00703A87">
        <w:rPr>
          <w:rFonts w:cs="Times New Roman"/>
        </w:rPr>
        <w:t>“</w:t>
      </w:r>
      <w:r w:rsidR="008A34AF">
        <w:rPr>
          <w:rFonts w:cs="Times New Roman"/>
        </w:rPr>
        <w:t>HB</w:t>
      </w:r>
      <w:r w:rsidR="00703A87">
        <w:rPr>
          <w:rFonts w:cs="Times New Roman"/>
        </w:rPr>
        <w:t>”</w:t>
      </w:r>
      <w:r w:rsidR="008A34AF">
        <w:rPr>
          <w:rFonts w:cs="Times New Roman"/>
        </w:rPr>
        <w:t xml:space="preserve">) </w:t>
      </w:r>
      <w:r>
        <w:rPr>
          <w:rFonts w:cs="Times New Roman"/>
        </w:rPr>
        <w:t>1500, Section 9, 88</w:t>
      </w:r>
      <w:r w:rsidRPr="00552F98">
        <w:rPr>
          <w:rFonts w:cs="Times New Roman"/>
          <w:vertAlign w:val="superscript"/>
        </w:rPr>
        <w:t>th</w:t>
      </w:r>
      <w:r>
        <w:rPr>
          <w:rFonts w:cs="Times New Roman"/>
        </w:rPr>
        <w:t xml:space="preserve"> Regular Legislative Session. </w:t>
      </w:r>
      <w:r w:rsidR="0094520A">
        <w:rPr>
          <w:rFonts w:cs="Times New Roman"/>
        </w:rPr>
        <w:t xml:space="preserve">First, TCPA </w:t>
      </w:r>
      <w:r w:rsidR="005D3769">
        <w:rPr>
          <w:rFonts w:cs="Times New Roman"/>
        </w:rPr>
        <w:t>opposes the recommendation by some (e.g., Texas Electric Cooperatives and Apex</w:t>
      </w:r>
      <w:r w:rsidR="005D3769">
        <w:rPr>
          <w:rStyle w:val="FootnoteReference"/>
          <w:rFonts w:cs="Times New Roman"/>
        </w:rPr>
        <w:footnoteReference w:id="2"/>
      </w:r>
      <w:r w:rsidR="005D3769">
        <w:rPr>
          <w:rFonts w:cs="Times New Roman"/>
        </w:rPr>
        <w:t xml:space="preserve">) to reallocate </w:t>
      </w:r>
      <w:r w:rsidR="00932391">
        <w:rPr>
          <w:rFonts w:cs="Times New Roman"/>
        </w:rPr>
        <w:t xml:space="preserve">initial </w:t>
      </w:r>
      <w:r w:rsidR="009D7802">
        <w:rPr>
          <w:rFonts w:cs="Times New Roman"/>
        </w:rPr>
        <w:t>developer costs</w:t>
      </w:r>
      <w:r w:rsidR="00932391">
        <w:rPr>
          <w:rFonts w:cs="Times New Roman"/>
        </w:rPr>
        <w:t xml:space="preserve"> to subsequent developers</w:t>
      </w:r>
      <w:r w:rsidR="00585BC7">
        <w:rPr>
          <w:rFonts w:cs="Times New Roman"/>
        </w:rPr>
        <w:t>, as</w:t>
      </w:r>
      <w:r w:rsidR="009D7802">
        <w:rPr>
          <w:rFonts w:cs="Times New Roman"/>
        </w:rPr>
        <w:t xml:space="preserve"> </w:t>
      </w:r>
      <w:r w:rsidR="005D3769">
        <w:rPr>
          <w:rFonts w:cs="Times New Roman"/>
        </w:rPr>
        <w:t>this proposal will unnecessarily complicate the process for regulators and market participants</w:t>
      </w:r>
      <w:r w:rsidR="009D7802">
        <w:rPr>
          <w:rFonts w:cs="Times New Roman"/>
        </w:rPr>
        <w:t xml:space="preserve">. </w:t>
      </w:r>
      <w:r w:rsidR="005D3769">
        <w:rPr>
          <w:rFonts w:cs="Times New Roman"/>
        </w:rPr>
        <w:t xml:space="preserve">Second, TCPA </w:t>
      </w:r>
      <w:r w:rsidR="00D45D41">
        <w:rPr>
          <w:rFonts w:cs="Times New Roman"/>
        </w:rPr>
        <w:t>has some concerns about the proposal</w:t>
      </w:r>
      <w:r w:rsidR="002250D7">
        <w:rPr>
          <w:rFonts w:cs="Times New Roman"/>
        </w:rPr>
        <w:t xml:space="preserve"> </w:t>
      </w:r>
      <w:r w:rsidR="00932391">
        <w:rPr>
          <w:rFonts w:cs="Times New Roman"/>
        </w:rPr>
        <w:t>by multiple transmission and distribution service providers (TDSPs)</w:t>
      </w:r>
      <w:r w:rsidR="000B6CB9">
        <w:rPr>
          <w:rFonts w:cs="Times New Roman"/>
        </w:rPr>
        <w:t xml:space="preserve"> to establish a different allowance based on the voltage</w:t>
      </w:r>
      <w:r w:rsidR="00487F6C">
        <w:rPr>
          <w:rFonts w:cs="Times New Roman"/>
        </w:rPr>
        <w:t xml:space="preserve"> level</w:t>
      </w:r>
      <w:r w:rsidR="000B6CB9">
        <w:rPr>
          <w:rFonts w:cs="Times New Roman"/>
        </w:rPr>
        <w:t xml:space="preserve"> </w:t>
      </w:r>
      <w:r w:rsidR="00487F6C">
        <w:rPr>
          <w:rFonts w:cs="Times New Roman"/>
        </w:rPr>
        <w:t>connection</w:t>
      </w:r>
      <w:r w:rsidR="00D45D41">
        <w:rPr>
          <w:rFonts w:cs="Times New Roman"/>
        </w:rPr>
        <w:t>,</w:t>
      </w:r>
      <w:r w:rsidR="00305352">
        <w:rPr>
          <w:rStyle w:val="FootnoteReference"/>
          <w:rFonts w:cs="Times New Roman"/>
        </w:rPr>
        <w:footnoteReference w:id="3"/>
      </w:r>
      <w:r w:rsidR="00D45D41">
        <w:rPr>
          <w:rFonts w:cs="Times New Roman"/>
        </w:rPr>
        <w:t xml:space="preserve"> but believes the upcoming work session will be helpful to clarify whether the data</w:t>
      </w:r>
      <w:r w:rsidR="002250D7">
        <w:rPr>
          <w:rFonts w:cs="Times New Roman"/>
        </w:rPr>
        <w:t xml:space="preserve"> strongly</w:t>
      </w:r>
      <w:r w:rsidR="00D45D41">
        <w:rPr>
          <w:rFonts w:cs="Times New Roman"/>
        </w:rPr>
        <w:t xml:space="preserve"> </w:t>
      </w:r>
      <w:r w:rsidR="005D01DA">
        <w:rPr>
          <w:rFonts w:cs="Times New Roman"/>
        </w:rPr>
        <w:t>counsels</w:t>
      </w:r>
      <w:r w:rsidR="00D45D41">
        <w:rPr>
          <w:rFonts w:cs="Times New Roman"/>
        </w:rPr>
        <w:t xml:space="preserve"> such an approach</w:t>
      </w:r>
      <w:r w:rsidR="00932391">
        <w:rPr>
          <w:rFonts w:cs="Times New Roman"/>
        </w:rPr>
        <w:t>.</w:t>
      </w:r>
      <w:r w:rsidR="00BD683D">
        <w:rPr>
          <w:rFonts w:cs="Times New Roman"/>
        </w:rPr>
        <w:t xml:space="preserve"> </w:t>
      </w:r>
      <w:r w:rsidR="002D2CE5">
        <w:rPr>
          <w:rFonts w:cs="Times New Roman"/>
        </w:rPr>
        <w:t xml:space="preserve">Third, TCPA requests the Commission publish individual responses to the Staff questions </w:t>
      </w:r>
      <w:r w:rsidR="001F1859">
        <w:rPr>
          <w:rFonts w:cs="Times New Roman"/>
        </w:rPr>
        <w:t xml:space="preserve">(or aggregated data </w:t>
      </w:r>
      <w:r w:rsidR="001F1859">
        <w:rPr>
          <w:rFonts w:cs="Times New Roman"/>
        </w:rPr>
        <w:lastRenderedPageBreak/>
        <w:t xml:space="preserve">of those responses) </w:t>
      </w:r>
      <w:r w:rsidR="002D2CE5">
        <w:rPr>
          <w:rFonts w:cs="Times New Roman"/>
        </w:rPr>
        <w:t>to support data access and informed public discussion regarding historical interconnection costs that may otherwise be obscured by publishi</w:t>
      </w:r>
      <w:r w:rsidR="00633836">
        <w:rPr>
          <w:rFonts w:cs="Times New Roman"/>
        </w:rPr>
        <w:t xml:space="preserve">ng data </w:t>
      </w:r>
      <w:r w:rsidR="002D2CE5">
        <w:rPr>
          <w:rFonts w:cs="Times New Roman"/>
        </w:rPr>
        <w:t>a</w:t>
      </w:r>
      <w:r w:rsidR="00633836">
        <w:rPr>
          <w:rFonts w:cs="Times New Roman"/>
        </w:rPr>
        <w:t>s</w:t>
      </w:r>
      <w:r w:rsidR="002D2CE5">
        <w:rPr>
          <w:rFonts w:cs="Times New Roman"/>
        </w:rPr>
        <w:t xml:space="preserve"> </w:t>
      </w:r>
      <w:r w:rsidR="00633836">
        <w:rPr>
          <w:rFonts w:cs="Times New Roman"/>
        </w:rPr>
        <w:t xml:space="preserve">a </w:t>
      </w:r>
      <w:r w:rsidR="002D2CE5">
        <w:rPr>
          <w:rFonts w:cs="Times New Roman"/>
        </w:rPr>
        <w:t>summary.</w:t>
      </w:r>
    </w:p>
    <w:p w14:paraId="53205073" w14:textId="28E72E7C" w:rsidR="004D2307" w:rsidRPr="004D2307" w:rsidRDefault="004D2307" w:rsidP="004D2307">
      <w:pPr>
        <w:spacing w:line="480" w:lineRule="auto"/>
        <w:ind w:firstLine="360"/>
        <w:jc w:val="center"/>
        <w:rPr>
          <w:rFonts w:cs="Times New Roman"/>
          <w:b/>
          <w:bCs/>
        </w:rPr>
      </w:pPr>
      <w:r>
        <w:rPr>
          <w:rFonts w:cs="Times New Roman"/>
          <w:b/>
          <w:bCs/>
        </w:rPr>
        <w:t xml:space="preserve">DEVELOPER </w:t>
      </w:r>
      <w:r w:rsidR="004B2C88">
        <w:rPr>
          <w:rFonts w:cs="Times New Roman"/>
          <w:b/>
          <w:bCs/>
        </w:rPr>
        <w:t>REALLOCATION</w:t>
      </w:r>
    </w:p>
    <w:p w14:paraId="40DA11FC" w14:textId="14786184" w:rsidR="00D31D7F" w:rsidRDefault="00974EA3" w:rsidP="00CC045D">
      <w:pPr>
        <w:spacing w:line="480" w:lineRule="auto"/>
        <w:ind w:firstLine="360"/>
        <w:rPr>
          <w:rFonts w:cs="Times New Roman"/>
        </w:rPr>
      </w:pPr>
      <w:r>
        <w:rPr>
          <w:rFonts w:cs="Times New Roman"/>
        </w:rPr>
        <w:t xml:space="preserve">TCPA, </w:t>
      </w:r>
      <w:r w:rsidR="00FD45FC">
        <w:rPr>
          <w:rFonts w:cs="Times New Roman"/>
        </w:rPr>
        <w:t>like</w:t>
      </w:r>
      <w:r>
        <w:rPr>
          <w:rFonts w:cs="Times New Roman"/>
        </w:rPr>
        <w:t xml:space="preserve"> </w:t>
      </w:r>
      <w:proofErr w:type="gramStart"/>
      <w:r>
        <w:rPr>
          <w:rFonts w:cs="Times New Roman"/>
        </w:rPr>
        <w:t>a majority of</w:t>
      </w:r>
      <w:proofErr w:type="gramEnd"/>
      <w:r>
        <w:rPr>
          <w:rFonts w:cs="Times New Roman"/>
        </w:rPr>
        <w:t xml:space="preserve"> the commenters, advocat</w:t>
      </w:r>
      <w:r w:rsidR="00FD45FC">
        <w:rPr>
          <w:rFonts w:cs="Times New Roman"/>
        </w:rPr>
        <w:t xml:space="preserve">es </w:t>
      </w:r>
      <w:r w:rsidR="005B4134">
        <w:rPr>
          <w:rFonts w:cs="Times New Roman"/>
        </w:rPr>
        <w:t>for</w:t>
      </w:r>
      <w:r>
        <w:rPr>
          <w:rFonts w:cs="Times New Roman"/>
        </w:rPr>
        <w:t xml:space="preserve"> </w:t>
      </w:r>
      <w:r w:rsidR="0095551A">
        <w:rPr>
          <w:rFonts w:cs="Times New Roman"/>
        </w:rPr>
        <w:t xml:space="preserve">setting </w:t>
      </w:r>
      <w:r>
        <w:rPr>
          <w:rFonts w:cs="Times New Roman"/>
        </w:rPr>
        <w:t xml:space="preserve">the allowance </w:t>
      </w:r>
      <w:r w:rsidR="002D5222">
        <w:rPr>
          <w:rFonts w:cs="Times New Roman"/>
        </w:rPr>
        <w:t xml:space="preserve">at a level that encourages </w:t>
      </w:r>
      <w:r w:rsidR="00BB7712">
        <w:rPr>
          <w:rFonts w:cs="Times New Roman"/>
        </w:rPr>
        <w:t xml:space="preserve">rational and </w:t>
      </w:r>
      <w:r w:rsidR="002D5222">
        <w:rPr>
          <w:rFonts w:cs="Times New Roman"/>
        </w:rPr>
        <w:t xml:space="preserve">efficient </w:t>
      </w:r>
      <w:proofErr w:type="gramStart"/>
      <w:r w:rsidR="00BB7712">
        <w:rPr>
          <w:rFonts w:cs="Times New Roman"/>
        </w:rPr>
        <w:t>siting</w:t>
      </w:r>
      <w:proofErr w:type="gramEnd"/>
      <w:r w:rsidR="00BB7712">
        <w:rPr>
          <w:rFonts w:cs="Times New Roman"/>
        </w:rPr>
        <w:t xml:space="preserve"> decisions</w:t>
      </w:r>
      <w:r w:rsidR="00D31D7F">
        <w:rPr>
          <w:rFonts w:cs="Times New Roman"/>
        </w:rPr>
        <w:t xml:space="preserve">, </w:t>
      </w:r>
      <w:r w:rsidR="005B4134">
        <w:rPr>
          <w:rFonts w:cs="Times New Roman"/>
        </w:rPr>
        <w:t xml:space="preserve">as opposed to </w:t>
      </w:r>
      <w:r w:rsidR="000A0710">
        <w:rPr>
          <w:rFonts w:cs="Times New Roman"/>
        </w:rPr>
        <w:t xml:space="preserve">setting </w:t>
      </w:r>
      <w:r w:rsidR="002F42D3">
        <w:rPr>
          <w:rFonts w:cs="Times New Roman"/>
        </w:rPr>
        <w:t>it</w:t>
      </w:r>
      <w:r w:rsidR="000A0710">
        <w:rPr>
          <w:rFonts w:cs="Times New Roman"/>
        </w:rPr>
        <w:t xml:space="preserve"> in a manner that would </w:t>
      </w:r>
      <w:r w:rsidR="005B4134">
        <w:rPr>
          <w:rFonts w:cs="Times New Roman"/>
        </w:rPr>
        <w:t>establish</w:t>
      </w:r>
      <w:r w:rsidR="00D31D7F">
        <w:rPr>
          <w:rFonts w:cs="Times New Roman"/>
        </w:rPr>
        <w:t xml:space="preserve"> a</w:t>
      </w:r>
      <w:r w:rsidR="00680A3E">
        <w:rPr>
          <w:rFonts w:cs="Times New Roman"/>
        </w:rPr>
        <w:t xml:space="preserve"> full-blown</w:t>
      </w:r>
      <w:r w:rsidR="00D31D7F">
        <w:rPr>
          <w:rFonts w:cs="Times New Roman"/>
        </w:rPr>
        <w:t xml:space="preserve"> participant funding model</w:t>
      </w:r>
      <w:r w:rsidR="00BB7712">
        <w:rPr>
          <w:rFonts w:cs="Times New Roman"/>
        </w:rPr>
        <w:t>.</w:t>
      </w:r>
      <w:r w:rsidR="00D71501">
        <w:rPr>
          <w:rFonts w:cs="Times New Roman"/>
        </w:rPr>
        <w:t xml:space="preserve"> </w:t>
      </w:r>
      <w:r w:rsidR="00D31D7F">
        <w:rPr>
          <w:rFonts w:cs="Times New Roman"/>
        </w:rPr>
        <w:t xml:space="preserve">That is, the policy change in HB 1500 was a nudge, not an overhaul, of the interconnection funding process. </w:t>
      </w:r>
    </w:p>
    <w:p w14:paraId="2B7A4636" w14:textId="4EDA739D" w:rsidR="0024529B" w:rsidRDefault="00D31D7F" w:rsidP="00CC045D">
      <w:pPr>
        <w:spacing w:line="480" w:lineRule="auto"/>
        <w:ind w:firstLine="360"/>
        <w:rPr>
          <w:rFonts w:cs="Times New Roman"/>
        </w:rPr>
      </w:pPr>
      <w:r>
        <w:rPr>
          <w:rFonts w:cs="Times New Roman"/>
        </w:rPr>
        <w:t>Furthermore, i</w:t>
      </w:r>
      <w:r w:rsidR="00F747FC">
        <w:rPr>
          <w:rFonts w:cs="Times New Roman"/>
        </w:rPr>
        <w:t xml:space="preserve">f </w:t>
      </w:r>
      <w:r>
        <w:rPr>
          <w:rFonts w:cs="Times New Roman"/>
        </w:rPr>
        <w:t xml:space="preserve">the goal of interconnection allowances incentivizing efficient siting </w:t>
      </w:r>
      <w:r w:rsidR="00F747FC">
        <w:rPr>
          <w:rFonts w:cs="Times New Roman"/>
        </w:rPr>
        <w:t xml:space="preserve">is accomplished, then </w:t>
      </w:r>
      <w:r w:rsidR="009D37B8">
        <w:rPr>
          <w:rFonts w:cs="Times New Roman"/>
        </w:rPr>
        <w:t>there should not be significant costs</w:t>
      </w:r>
      <w:r w:rsidR="00465176">
        <w:rPr>
          <w:rFonts w:cs="Times New Roman"/>
        </w:rPr>
        <w:t xml:space="preserve"> to reallocate to future developers</w:t>
      </w:r>
      <w:r>
        <w:rPr>
          <w:rFonts w:cs="Times New Roman"/>
        </w:rPr>
        <w:t xml:space="preserve"> even if there were to be a shift to</w:t>
      </w:r>
      <w:r w:rsidR="006C645E">
        <w:rPr>
          <w:rFonts w:cs="Times New Roman"/>
        </w:rPr>
        <w:t>ward</w:t>
      </w:r>
      <w:r>
        <w:rPr>
          <w:rFonts w:cs="Times New Roman"/>
        </w:rPr>
        <w:t xml:space="preserve"> a participant funding model</w:t>
      </w:r>
      <w:r w:rsidR="00465176">
        <w:rPr>
          <w:rFonts w:cs="Times New Roman"/>
        </w:rPr>
        <w:t xml:space="preserve">. </w:t>
      </w:r>
      <w:r w:rsidR="005C17A8">
        <w:rPr>
          <w:rFonts w:cs="Times New Roman"/>
        </w:rPr>
        <w:t xml:space="preserve">Such a reallocation would be unnecessary and </w:t>
      </w:r>
      <w:r>
        <w:rPr>
          <w:rFonts w:cs="Times New Roman"/>
        </w:rPr>
        <w:t xml:space="preserve">would </w:t>
      </w:r>
      <w:r w:rsidR="005C17A8">
        <w:rPr>
          <w:rFonts w:cs="Times New Roman"/>
        </w:rPr>
        <w:t xml:space="preserve">complicate </w:t>
      </w:r>
      <w:r w:rsidR="001B48FC">
        <w:rPr>
          <w:rFonts w:cs="Times New Roman"/>
        </w:rPr>
        <w:t>interconnections for market participants, utilities</w:t>
      </w:r>
      <w:r>
        <w:rPr>
          <w:rFonts w:cs="Times New Roman"/>
        </w:rPr>
        <w:t>,</w:t>
      </w:r>
      <w:r w:rsidR="001B48FC">
        <w:rPr>
          <w:rFonts w:cs="Times New Roman"/>
        </w:rPr>
        <w:t xml:space="preserve"> and the Commission. In addition</w:t>
      </w:r>
      <w:r w:rsidR="00DD3F62">
        <w:rPr>
          <w:rFonts w:cs="Times New Roman"/>
        </w:rPr>
        <w:t>,</w:t>
      </w:r>
      <w:r w:rsidR="00F747FC">
        <w:rPr>
          <w:rFonts w:cs="Times New Roman"/>
        </w:rPr>
        <w:t xml:space="preserve"> </w:t>
      </w:r>
      <w:r w:rsidR="00CD1437">
        <w:rPr>
          <w:rFonts w:cs="Times New Roman"/>
        </w:rPr>
        <w:t xml:space="preserve">the potential for reallocation </w:t>
      </w:r>
      <w:proofErr w:type="gramStart"/>
      <w:r w:rsidR="00CD1437">
        <w:rPr>
          <w:rFonts w:cs="Times New Roman"/>
        </w:rPr>
        <w:t>at a later date</w:t>
      </w:r>
      <w:proofErr w:type="gramEnd"/>
      <w:r w:rsidR="00CD1437">
        <w:rPr>
          <w:rFonts w:cs="Times New Roman"/>
        </w:rPr>
        <w:t xml:space="preserve"> will</w:t>
      </w:r>
      <w:r w:rsidR="00521D04">
        <w:rPr>
          <w:rFonts w:cs="Times New Roman"/>
        </w:rPr>
        <w:t xml:space="preserve"> raise some fundamental fairness questions for subsequent developers who had no say in the decisions regarding interconnection made by the </w:t>
      </w:r>
      <w:r w:rsidR="00DD3F62">
        <w:rPr>
          <w:rFonts w:cs="Times New Roman"/>
        </w:rPr>
        <w:t>first interconnecting entity</w:t>
      </w:r>
      <w:r w:rsidR="00C734D6">
        <w:rPr>
          <w:rFonts w:cs="Times New Roman"/>
        </w:rPr>
        <w:t xml:space="preserve">. </w:t>
      </w:r>
      <w:r w:rsidR="00101D49">
        <w:rPr>
          <w:rFonts w:cs="Times New Roman"/>
        </w:rPr>
        <w:t xml:space="preserve">Similarly, </w:t>
      </w:r>
      <w:r w:rsidR="00E93450">
        <w:rPr>
          <w:rFonts w:cs="Times New Roman"/>
        </w:rPr>
        <w:t>future reallocation</w:t>
      </w:r>
      <w:r w:rsidR="00101D49">
        <w:rPr>
          <w:rFonts w:cs="Times New Roman"/>
        </w:rPr>
        <w:t xml:space="preserve"> may decrease the incentive for a primary </w:t>
      </w:r>
      <w:r w:rsidR="00842CC4">
        <w:rPr>
          <w:rFonts w:cs="Times New Roman"/>
        </w:rPr>
        <w:t xml:space="preserve">developer to be efficient and cost-effective in siting and interconnection decisions if the likelihood exists that future developers will be forced to pay some of the initial developer’s interconnection costs, which is contrary to </w:t>
      </w:r>
      <w:r w:rsidR="00BD3EE3">
        <w:rPr>
          <w:rFonts w:cs="Times New Roman"/>
        </w:rPr>
        <w:t xml:space="preserve">the purpose of </w:t>
      </w:r>
      <w:r w:rsidR="00B15AFD">
        <w:rPr>
          <w:rFonts w:cs="Times New Roman"/>
        </w:rPr>
        <w:t>HB</w:t>
      </w:r>
      <w:r w:rsidR="002C72BE">
        <w:rPr>
          <w:rFonts w:cs="Times New Roman"/>
        </w:rPr>
        <w:t xml:space="preserve"> </w:t>
      </w:r>
      <w:r w:rsidR="00B15AFD">
        <w:rPr>
          <w:rFonts w:cs="Times New Roman"/>
        </w:rPr>
        <w:t>1500</w:t>
      </w:r>
      <w:r w:rsidR="00BD3EE3">
        <w:rPr>
          <w:rFonts w:cs="Times New Roman"/>
        </w:rPr>
        <w:t xml:space="preserve">. </w:t>
      </w:r>
    </w:p>
    <w:p w14:paraId="58462B9D" w14:textId="78808068" w:rsidR="009D37B8" w:rsidRDefault="0067034F" w:rsidP="00CC045D">
      <w:pPr>
        <w:spacing w:line="480" w:lineRule="auto"/>
        <w:ind w:firstLine="360"/>
        <w:rPr>
          <w:rFonts w:cs="Times New Roman"/>
        </w:rPr>
      </w:pPr>
      <w:r>
        <w:rPr>
          <w:rFonts w:cs="Times New Roman"/>
        </w:rPr>
        <w:t>R</w:t>
      </w:r>
      <w:r w:rsidR="00AA38A3">
        <w:rPr>
          <w:rFonts w:cs="Times New Roman"/>
        </w:rPr>
        <w:t xml:space="preserve">egulatory certainty </w:t>
      </w:r>
      <w:r w:rsidR="00715A62">
        <w:rPr>
          <w:rFonts w:cs="Times New Roman"/>
        </w:rPr>
        <w:t>regarding</w:t>
      </w:r>
      <w:r>
        <w:rPr>
          <w:rFonts w:cs="Times New Roman"/>
        </w:rPr>
        <w:t xml:space="preserve"> interconnection cost rules is very important for </w:t>
      </w:r>
      <w:r w:rsidR="00AA38A3">
        <w:rPr>
          <w:rFonts w:cs="Times New Roman"/>
        </w:rPr>
        <w:t>developers</w:t>
      </w:r>
      <w:r w:rsidR="00AE2808">
        <w:rPr>
          <w:rFonts w:cs="Times New Roman"/>
        </w:rPr>
        <w:t xml:space="preserve">; </w:t>
      </w:r>
      <w:r w:rsidR="007D5FFA">
        <w:rPr>
          <w:rFonts w:cs="Times New Roman"/>
        </w:rPr>
        <w:t>thus, interconnection costs should be</w:t>
      </w:r>
      <w:r w:rsidR="00AE2808">
        <w:rPr>
          <w:rFonts w:cs="Times New Roman"/>
        </w:rPr>
        <w:t xml:space="preserve"> readily apparent </w:t>
      </w:r>
      <w:r w:rsidR="007D5FFA">
        <w:rPr>
          <w:rFonts w:cs="Times New Roman"/>
        </w:rPr>
        <w:t>upfront</w:t>
      </w:r>
      <w:r w:rsidR="00A3760D">
        <w:rPr>
          <w:rFonts w:cs="Times New Roman"/>
        </w:rPr>
        <w:t>. TCPA agrees that additional resource investment is needed in ERCOT and encourages the Commission to reject th</w:t>
      </w:r>
      <w:r w:rsidR="00FD436A">
        <w:rPr>
          <w:rFonts w:cs="Times New Roman"/>
        </w:rPr>
        <w:t xml:space="preserve">e </w:t>
      </w:r>
      <w:r w:rsidR="00151831">
        <w:rPr>
          <w:rFonts w:cs="Times New Roman"/>
        </w:rPr>
        <w:t xml:space="preserve">proposals to </w:t>
      </w:r>
      <w:r w:rsidR="00FD436A">
        <w:rPr>
          <w:rFonts w:cs="Times New Roman"/>
        </w:rPr>
        <w:t>reallocat</w:t>
      </w:r>
      <w:r w:rsidR="00151831">
        <w:rPr>
          <w:rFonts w:cs="Times New Roman"/>
        </w:rPr>
        <w:t>e</w:t>
      </w:r>
      <w:r w:rsidR="00FD436A">
        <w:rPr>
          <w:rFonts w:cs="Times New Roman"/>
        </w:rPr>
        <w:t xml:space="preserve"> among developers as unnecessary to properly implement the statute and as a </w:t>
      </w:r>
      <w:r w:rsidR="00A738BC">
        <w:rPr>
          <w:rFonts w:cs="Times New Roman"/>
        </w:rPr>
        <w:t xml:space="preserve">likely complicating factor </w:t>
      </w:r>
      <w:r w:rsidR="00FD436A">
        <w:rPr>
          <w:rFonts w:cs="Times New Roman"/>
        </w:rPr>
        <w:t xml:space="preserve">to accomplish the policy goals of </w:t>
      </w:r>
      <w:r w:rsidR="00A738BC">
        <w:rPr>
          <w:rFonts w:cs="Times New Roman"/>
        </w:rPr>
        <w:t xml:space="preserve">the statute on the timeline given in </w:t>
      </w:r>
      <w:r w:rsidR="00344AB6">
        <w:rPr>
          <w:rFonts w:cs="Times New Roman"/>
        </w:rPr>
        <w:t xml:space="preserve">the </w:t>
      </w:r>
      <w:r w:rsidR="00A738BC">
        <w:rPr>
          <w:rFonts w:cs="Times New Roman"/>
        </w:rPr>
        <w:t>statute</w:t>
      </w:r>
      <w:r w:rsidR="00E0272F">
        <w:rPr>
          <w:rFonts w:cs="Times New Roman"/>
        </w:rPr>
        <w:t xml:space="preserve">. </w:t>
      </w:r>
    </w:p>
    <w:p w14:paraId="2EB92DFD" w14:textId="6C57259D" w:rsidR="0024529B" w:rsidRPr="0024529B" w:rsidRDefault="006338B2" w:rsidP="0024529B">
      <w:pPr>
        <w:spacing w:line="480" w:lineRule="auto"/>
        <w:ind w:firstLine="360"/>
        <w:jc w:val="center"/>
        <w:rPr>
          <w:rFonts w:ascii="Verdana Pro" w:hAnsi="Verdana Pro"/>
          <w:b/>
          <w:bCs/>
          <w:sz w:val="20"/>
          <w:szCs w:val="20"/>
        </w:rPr>
      </w:pPr>
      <w:r>
        <w:rPr>
          <w:rFonts w:cs="Times New Roman"/>
          <w:b/>
          <w:bCs/>
        </w:rPr>
        <w:lastRenderedPageBreak/>
        <w:t>SEPARATE ALLOWANCES BASED ON TRANSMISSION VOLTAGE LEVEL</w:t>
      </w:r>
    </w:p>
    <w:p w14:paraId="31FEA327" w14:textId="02EEC4D6" w:rsidR="008B48C7" w:rsidRDefault="00554645" w:rsidP="00E2185F">
      <w:pPr>
        <w:spacing w:line="480" w:lineRule="auto"/>
        <w:ind w:firstLine="360"/>
        <w:rPr>
          <w:rFonts w:cs="Times New Roman"/>
          <w:szCs w:val="24"/>
        </w:rPr>
      </w:pPr>
      <w:r>
        <w:rPr>
          <w:rFonts w:cs="Times New Roman"/>
          <w:szCs w:val="24"/>
        </w:rPr>
        <w:t xml:space="preserve">Several TDSPs discussed the potential for </w:t>
      </w:r>
      <w:r w:rsidR="00E30A86">
        <w:rPr>
          <w:rFonts w:cs="Times New Roman"/>
          <w:szCs w:val="24"/>
        </w:rPr>
        <w:t xml:space="preserve">multiple allowances versus a single allowance </w:t>
      </w:r>
      <w:proofErr w:type="gramStart"/>
      <w:r w:rsidR="00E30A86">
        <w:rPr>
          <w:rFonts w:cs="Times New Roman"/>
          <w:szCs w:val="24"/>
        </w:rPr>
        <w:t>system-wide</w:t>
      </w:r>
      <w:proofErr w:type="gramEnd"/>
      <w:r w:rsidR="00E30A86">
        <w:rPr>
          <w:rFonts w:cs="Times New Roman"/>
          <w:szCs w:val="24"/>
        </w:rPr>
        <w:t xml:space="preserve">. TCPA agrees with </w:t>
      </w:r>
      <w:r w:rsidR="001B7F1E">
        <w:rPr>
          <w:rFonts w:cs="Times New Roman"/>
          <w:szCs w:val="24"/>
        </w:rPr>
        <w:t xml:space="preserve">commenters such as </w:t>
      </w:r>
      <w:r w:rsidR="00204D3E">
        <w:rPr>
          <w:rFonts w:cs="Times New Roman"/>
          <w:szCs w:val="24"/>
        </w:rPr>
        <w:t>LCRA</w:t>
      </w:r>
      <w:r w:rsidR="007F2057">
        <w:rPr>
          <w:rFonts w:cs="Times New Roman"/>
          <w:szCs w:val="24"/>
        </w:rPr>
        <w:t xml:space="preserve"> </w:t>
      </w:r>
      <w:r w:rsidR="00D62E40">
        <w:rPr>
          <w:rFonts w:cs="Times New Roman"/>
          <w:szCs w:val="24"/>
        </w:rPr>
        <w:t xml:space="preserve">and Texas Public Power Association (TPPA) </w:t>
      </w:r>
      <w:r w:rsidR="007F2057">
        <w:rPr>
          <w:rFonts w:cs="Times New Roman"/>
          <w:szCs w:val="24"/>
        </w:rPr>
        <w:t>that point to the singular use in the statute of “the allowance” and “a</w:t>
      </w:r>
      <w:r w:rsidR="00C55B79">
        <w:rPr>
          <w:rFonts w:cs="Times New Roman"/>
          <w:szCs w:val="24"/>
        </w:rPr>
        <w:t xml:space="preserve"> reasonable allowance.”</w:t>
      </w:r>
      <w:r w:rsidR="00C55B79">
        <w:rPr>
          <w:rStyle w:val="FootnoteReference"/>
          <w:rFonts w:cs="Times New Roman"/>
          <w:szCs w:val="24"/>
        </w:rPr>
        <w:footnoteReference w:id="4"/>
      </w:r>
      <w:r w:rsidR="00C55B79">
        <w:rPr>
          <w:rFonts w:cs="Times New Roman"/>
          <w:szCs w:val="24"/>
        </w:rPr>
        <w:t xml:space="preserve"> </w:t>
      </w:r>
      <w:r w:rsidR="00D94049">
        <w:rPr>
          <w:rFonts w:cs="Times New Roman"/>
          <w:szCs w:val="24"/>
        </w:rPr>
        <w:t>As TIEC discusses</w:t>
      </w:r>
      <w:r w:rsidR="0026282C">
        <w:rPr>
          <w:rFonts w:cs="Times New Roman"/>
          <w:szCs w:val="24"/>
        </w:rPr>
        <w:t xml:space="preserve"> as well,</w:t>
      </w:r>
      <w:r w:rsidR="00D94049">
        <w:rPr>
          <w:rFonts w:cs="Times New Roman"/>
          <w:szCs w:val="24"/>
        </w:rPr>
        <w:t xml:space="preserve"> multiple allowances based on transmission service provider (TSP) service territory may increase inefficient siting decisions </w:t>
      </w:r>
      <w:r w:rsidR="009B197D">
        <w:rPr>
          <w:rFonts w:cs="Times New Roman"/>
          <w:szCs w:val="24"/>
        </w:rPr>
        <w:t xml:space="preserve">and cause inequities </w:t>
      </w:r>
      <w:r w:rsidR="00543707">
        <w:rPr>
          <w:rFonts w:cs="Times New Roman"/>
          <w:szCs w:val="24"/>
        </w:rPr>
        <w:t>in resource location and availability</w:t>
      </w:r>
      <w:r w:rsidR="008B48C7">
        <w:rPr>
          <w:rFonts w:cs="Times New Roman"/>
          <w:szCs w:val="24"/>
        </w:rPr>
        <w:t>.</w:t>
      </w:r>
      <w:r w:rsidR="00543573">
        <w:rPr>
          <w:rStyle w:val="FootnoteReference"/>
          <w:rFonts w:cs="Times New Roman"/>
          <w:szCs w:val="24"/>
        </w:rPr>
        <w:footnoteReference w:id="5"/>
      </w:r>
      <w:r w:rsidR="00543707">
        <w:rPr>
          <w:rFonts w:cs="Times New Roman"/>
          <w:szCs w:val="24"/>
        </w:rPr>
        <w:t xml:space="preserve"> </w:t>
      </w:r>
    </w:p>
    <w:p w14:paraId="47721616" w14:textId="032097E6" w:rsidR="008B48C7" w:rsidRDefault="008B48C7" w:rsidP="00E2185F">
      <w:pPr>
        <w:spacing w:line="480" w:lineRule="auto"/>
        <w:ind w:firstLine="360"/>
        <w:rPr>
          <w:rFonts w:cs="Times New Roman"/>
          <w:szCs w:val="24"/>
        </w:rPr>
      </w:pPr>
      <w:r>
        <w:rPr>
          <w:rFonts w:cs="Times New Roman"/>
          <w:szCs w:val="24"/>
        </w:rPr>
        <w:t xml:space="preserve">The </w:t>
      </w:r>
      <w:r w:rsidR="00543707">
        <w:rPr>
          <w:rFonts w:cs="Times New Roman"/>
          <w:szCs w:val="24"/>
        </w:rPr>
        <w:t xml:space="preserve">proposal to set an allowance </w:t>
      </w:r>
      <w:r w:rsidR="00B86BD2">
        <w:rPr>
          <w:rFonts w:cs="Times New Roman"/>
          <w:szCs w:val="24"/>
        </w:rPr>
        <w:t xml:space="preserve">based on voltage level may also incentivize interconnection decisions based on voltage level, rather than on </w:t>
      </w:r>
      <w:r w:rsidR="00281FC9">
        <w:rPr>
          <w:rFonts w:cs="Times New Roman"/>
          <w:szCs w:val="24"/>
        </w:rPr>
        <w:t xml:space="preserve">which interconnection option best delivers power effectively and efficiently to the grid. </w:t>
      </w:r>
      <w:r w:rsidR="00124F50">
        <w:rPr>
          <w:rFonts w:cs="Times New Roman"/>
          <w:szCs w:val="24"/>
        </w:rPr>
        <w:t xml:space="preserve">It is reasonable to </w:t>
      </w:r>
      <w:r w:rsidR="00535A34">
        <w:rPr>
          <w:rFonts w:cs="Times New Roman"/>
          <w:szCs w:val="24"/>
        </w:rPr>
        <w:t xml:space="preserve">expect that the Commission could set an allowance that would </w:t>
      </w:r>
      <w:r w:rsidR="008C3300">
        <w:rPr>
          <w:rFonts w:cs="Times New Roman"/>
          <w:szCs w:val="24"/>
        </w:rPr>
        <w:t xml:space="preserve">promote efficient </w:t>
      </w:r>
      <w:proofErr w:type="gramStart"/>
      <w:r w:rsidR="008C3300">
        <w:rPr>
          <w:rFonts w:cs="Times New Roman"/>
          <w:szCs w:val="24"/>
        </w:rPr>
        <w:t>siting</w:t>
      </w:r>
      <w:proofErr w:type="gramEnd"/>
      <w:r w:rsidR="008C3300">
        <w:rPr>
          <w:rFonts w:cs="Times New Roman"/>
          <w:szCs w:val="24"/>
        </w:rPr>
        <w:t xml:space="preserve"> decisions and </w:t>
      </w:r>
      <w:r w:rsidR="00535A34">
        <w:rPr>
          <w:rFonts w:cs="Times New Roman"/>
          <w:szCs w:val="24"/>
        </w:rPr>
        <w:t xml:space="preserve">cover the reasonable interconnection costs for either voltage </w:t>
      </w:r>
      <w:r w:rsidR="000E3167">
        <w:rPr>
          <w:rFonts w:cs="Times New Roman"/>
          <w:szCs w:val="24"/>
        </w:rPr>
        <w:t>level</w:t>
      </w:r>
      <w:r w:rsidR="008F4DF3">
        <w:rPr>
          <w:rFonts w:cs="Times New Roman"/>
          <w:szCs w:val="24"/>
        </w:rPr>
        <w:t>.</w:t>
      </w:r>
      <w:r>
        <w:rPr>
          <w:rFonts w:cs="Times New Roman"/>
          <w:szCs w:val="24"/>
        </w:rPr>
        <w:t xml:space="preserve"> TCPA looks forward to the workshop to better understand the spread of historical costs</w:t>
      </w:r>
      <w:r w:rsidR="00190688">
        <w:rPr>
          <w:rFonts w:cs="Times New Roman"/>
          <w:szCs w:val="24"/>
        </w:rPr>
        <w:t xml:space="preserve"> </w:t>
      </w:r>
      <w:r w:rsidR="00EF4948">
        <w:rPr>
          <w:rFonts w:cs="Times New Roman"/>
          <w:szCs w:val="24"/>
        </w:rPr>
        <w:t>and whether those costs strongly support setting different allowances based on voltage levels</w:t>
      </w:r>
      <w:r w:rsidR="00654949">
        <w:rPr>
          <w:rFonts w:cs="Times New Roman"/>
          <w:szCs w:val="24"/>
        </w:rPr>
        <w:t>, as suggested by several TDSPs,</w:t>
      </w:r>
      <w:r w:rsidR="00CD3E9D">
        <w:rPr>
          <w:rFonts w:cs="Times New Roman"/>
          <w:szCs w:val="24"/>
        </w:rPr>
        <w:t xml:space="preserve"> </w:t>
      </w:r>
      <w:proofErr w:type="gramStart"/>
      <w:r w:rsidR="00CD3E9D">
        <w:rPr>
          <w:rFonts w:cs="Times New Roman"/>
          <w:szCs w:val="24"/>
        </w:rPr>
        <w:t>in order</w:t>
      </w:r>
      <w:r w:rsidR="00EF4948">
        <w:rPr>
          <w:rFonts w:cs="Times New Roman"/>
          <w:szCs w:val="24"/>
        </w:rPr>
        <w:t xml:space="preserve"> to</w:t>
      </w:r>
      <w:proofErr w:type="gramEnd"/>
      <w:r w:rsidR="00EF4948">
        <w:rPr>
          <w:rFonts w:cs="Times New Roman"/>
          <w:szCs w:val="24"/>
        </w:rPr>
        <w:t xml:space="preserve"> further the purpose of the statute to incentivize efficient siting and interconnection decisions</w:t>
      </w:r>
      <w:r>
        <w:rPr>
          <w:rFonts w:cs="Times New Roman"/>
          <w:szCs w:val="24"/>
        </w:rPr>
        <w:t>.</w:t>
      </w:r>
      <w:r w:rsidR="008C3300">
        <w:rPr>
          <w:rFonts w:cs="Times New Roman"/>
          <w:szCs w:val="24"/>
        </w:rPr>
        <w:t xml:space="preserve"> </w:t>
      </w:r>
    </w:p>
    <w:p w14:paraId="6D211104" w14:textId="01D4B1D0" w:rsidR="00E2185F" w:rsidRDefault="008C3300" w:rsidP="00E2185F">
      <w:pPr>
        <w:spacing w:line="480" w:lineRule="auto"/>
        <w:ind w:firstLine="360"/>
        <w:rPr>
          <w:rFonts w:cs="Times New Roman"/>
          <w:szCs w:val="24"/>
        </w:rPr>
      </w:pPr>
      <w:r>
        <w:rPr>
          <w:rFonts w:cs="Times New Roman"/>
          <w:szCs w:val="24"/>
        </w:rPr>
        <w:t xml:space="preserve">TCPA </w:t>
      </w:r>
      <w:r w:rsidR="008B48C7">
        <w:rPr>
          <w:rFonts w:cs="Times New Roman"/>
          <w:szCs w:val="24"/>
        </w:rPr>
        <w:t xml:space="preserve">also </w:t>
      </w:r>
      <w:r>
        <w:rPr>
          <w:rFonts w:cs="Times New Roman"/>
          <w:szCs w:val="24"/>
        </w:rPr>
        <w:t xml:space="preserve">provided some suggestions in </w:t>
      </w:r>
      <w:r w:rsidR="00637FC2">
        <w:rPr>
          <w:rFonts w:cs="Times New Roman"/>
          <w:szCs w:val="24"/>
        </w:rPr>
        <w:t xml:space="preserve">its initial comments for </w:t>
      </w:r>
      <w:r w:rsidR="00596A86">
        <w:rPr>
          <w:rFonts w:cs="Times New Roman"/>
          <w:szCs w:val="24"/>
        </w:rPr>
        <w:t xml:space="preserve">a formulaic </w:t>
      </w:r>
      <w:r w:rsidR="00637FC2">
        <w:rPr>
          <w:rFonts w:cs="Times New Roman"/>
          <w:szCs w:val="24"/>
        </w:rPr>
        <w:t xml:space="preserve">approach. </w:t>
      </w:r>
      <w:r w:rsidR="007C72FB">
        <w:rPr>
          <w:rFonts w:cs="Times New Roman"/>
          <w:szCs w:val="24"/>
        </w:rPr>
        <w:t xml:space="preserve">While a single system-wide allowance would be the most transparent and easy to administer, </w:t>
      </w:r>
      <w:r w:rsidR="00B91837">
        <w:rPr>
          <w:rFonts w:cs="Times New Roman"/>
          <w:szCs w:val="24"/>
        </w:rPr>
        <w:t>TCPA recommend</w:t>
      </w:r>
      <w:r w:rsidR="008B48C7">
        <w:rPr>
          <w:rFonts w:cs="Times New Roman"/>
          <w:szCs w:val="24"/>
        </w:rPr>
        <w:t>s</w:t>
      </w:r>
      <w:r w:rsidR="00B91837">
        <w:rPr>
          <w:rFonts w:cs="Times New Roman"/>
          <w:szCs w:val="24"/>
        </w:rPr>
        <w:t xml:space="preserve"> the Commission </w:t>
      </w:r>
      <w:r w:rsidR="0017428F">
        <w:rPr>
          <w:rFonts w:cs="Times New Roman"/>
          <w:szCs w:val="24"/>
        </w:rPr>
        <w:t>consider</w:t>
      </w:r>
      <w:r w:rsidR="00E13844">
        <w:rPr>
          <w:rFonts w:cs="Times New Roman"/>
          <w:szCs w:val="24"/>
        </w:rPr>
        <w:t>,</w:t>
      </w:r>
      <w:r w:rsidR="0017428F">
        <w:rPr>
          <w:rFonts w:cs="Times New Roman"/>
          <w:szCs w:val="24"/>
        </w:rPr>
        <w:t xml:space="preserve"> </w:t>
      </w:r>
      <w:r w:rsidR="008B48C7">
        <w:rPr>
          <w:rFonts w:cs="Times New Roman"/>
          <w:szCs w:val="24"/>
        </w:rPr>
        <w:t>in the alternative</w:t>
      </w:r>
      <w:r w:rsidR="00E13844">
        <w:rPr>
          <w:rFonts w:cs="Times New Roman"/>
          <w:szCs w:val="24"/>
        </w:rPr>
        <w:t xml:space="preserve">, </w:t>
      </w:r>
      <w:r w:rsidR="0017428F">
        <w:rPr>
          <w:rFonts w:cs="Times New Roman"/>
          <w:szCs w:val="24"/>
        </w:rPr>
        <w:t>reliability-based formulaic approaches if a single allowance is determined to be too simplistic</w:t>
      </w:r>
      <w:r w:rsidR="00A110B6">
        <w:rPr>
          <w:rFonts w:cs="Times New Roman"/>
          <w:szCs w:val="24"/>
        </w:rPr>
        <w:t xml:space="preserve">. </w:t>
      </w:r>
      <w:r w:rsidR="00CA0BA6">
        <w:rPr>
          <w:rFonts w:cs="Times New Roman"/>
          <w:szCs w:val="24"/>
        </w:rPr>
        <w:t>If a formulaic approach is used, the primary metric for setting the allowance should be a</w:t>
      </w:r>
      <w:r w:rsidR="008B24B9">
        <w:rPr>
          <w:rFonts w:cs="Times New Roman"/>
          <w:szCs w:val="24"/>
        </w:rPr>
        <w:t xml:space="preserve"> potential resource’s reliability contribution to the grid. </w:t>
      </w:r>
      <w:r w:rsidR="008B24B9">
        <w:rPr>
          <w:rFonts w:cs="Times New Roman"/>
          <w:szCs w:val="24"/>
        </w:rPr>
        <w:lastRenderedPageBreak/>
        <w:t xml:space="preserve">In contrast, absent compelling historic data to support </w:t>
      </w:r>
      <w:r w:rsidR="00395351">
        <w:rPr>
          <w:rFonts w:cs="Times New Roman"/>
          <w:szCs w:val="24"/>
        </w:rPr>
        <w:t>multiple allowances that are voltage-specific or TSP-specific</w:t>
      </w:r>
      <w:r w:rsidR="008B24B9">
        <w:rPr>
          <w:rFonts w:cs="Times New Roman"/>
          <w:szCs w:val="24"/>
        </w:rPr>
        <w:t xml:space="preserve">, setting different allowances based on those factors </w:t>
      </w:r>
      <w:r w:rsidR="0046165F">
        <w:rPr>
          <w:rFonts w:cs="Times New Roman"/>
          <w:szCs w:val="24"/>
        </w:rPr>
        <w:t>c</w:t>
      </w:r>
      <w:r w:rsidR="008B48C7">
        <w:rPr>
          <w:rFonts w:cs="Times New Roman"/>
          <w:szCs w:val="24"/>
        </w:rPr>
        <w:t xml:space="preserve">ould </w:t>
      </w:r>
      <w:r w:rsidR="00F1727A">
        <w:rPr>
          <w:rFonts w:cs="Times New Roman"/>
          <w:szCs w:val="24"/>
        </w:rPr>
        <w:t xml:space="preserve">complicate the interconnection process as well as the ability of market participants to </w:t>
      </w:r>
      <w:r w:rsidR="00A51F74">
        <w:rPr>
          <w:rFonts w:cs="Times New Roman"/>
          <w:szCs w:val="24"/>
        </w:rPr>
        <w:t xml:space="preserve">assess sites based on the most efficient </w:t>
      </w:r>
      <w:r w:rsidR="00E2185F">
        <w:rPr>
          <w:rFonts w:cs="Times New Roman"/>
          <w:szCs w:val="24"/>
        </w:rPr>
        <w:t xml:space="preserve">avenue to deliver their power to the grid. </w:t>
      </w:r>
    </w:p>
    <w:p w14:paraId="0D8C2FC0" w14:textId="1BC9808D" w:rsidR="00DA4648" w:rsidRDefault="00DA4648" w:rsidP="00533DE0">
      <w:pPr>
        <w:pStyle w:val="Caption"/>
      </w:pPr>
      <w:r>
        <w:t>INTERCONNECTION DATA</w:t>
      </w:r>
    </w:p>
    <w:p w14:paraId="04CF4A99" w14:textId="77777777" w:rsidR="00DA4648" w:rsidRDefault="00DA4648" w:rsidP="00533DE0">
      <w:pPr>
        <w:pStyle w:val="Caption"/>
        <w:ind w:firstLine="720"/>
        <w:jc w:val="left"/>
      </w:pPr>
    </w:p>
    <w:p w14:paraId="1C5574CF" w14:textId="7C98AF9B" w:rsidR="00DA4648" w:rsidRPr="007947FB" w:rsidRDefault="00DA4648" w:rsidP="00533DE0">
      <w:pPr>
        <w:spacing w:line="480" w:lineRule="auto"/>
        <w:ind w:firstLine="720"/>
        <w:rPr>
          <w:szCs w:val="24"/>
        </w:rPr>
      </w:pPr>
      <w:r w:rsidRPr="007947FB">
        <w:rPr>
          <w:szCs w:val="24"/>
        </w:rPr>
        <w:t>TCPA is pleased to see the Staff questions</w:t>
      </w:r>
      <w:r>
        <w:rPr>
          <w:rStyle w:val="FootnoteReference"/>
          <w:szCs w:val="24"/>
        </w:rPr>
        <w:footnoteReference w:id="6"/>
      </w:r>
      <w:r w:rsidRPr="007947FB">
        <w:rPr>
          <w:szCs w:val="24"/>
        </w:rPr>
        <w:t xml:space="preserve"> issued directly to transmission service providers</w:t>
      </w:r>
      <w:r w:rsidR="00633836">
        <w:rPr>
          <w:szCs w:val="24"/>
        </w:rPr>
        <w:t xml:space="preserve"> and believes access to this data will improve public consideration of an appropriate interconnection allowance</w:t>
      </w:r>
      <w:r w:rsidRPr="007947FB">
        <w:rPr>
          <w:szCs w:val="24"/>
        </w:rPr>
        <w:t>.  TCPA respectfully requests that</w:t>
      </w:r>
      <w:r w:rsidR="004F652B">
        <w:rPr>
          <w:szCs w:val="24"/>
        </w:rPr>
        <w:t xml:space="preserve"> </w:t>
      </w:r>
      <w:r w:rsidRPr="007947FB">
        <w:rPr>
          <w:szCs w:val="24"/>
        </w:rPr>
        <w:t xml:space="preserve">individual company responses </w:t>
      </w:r>
      <w:r w:rsidR="001F1859">
        <w:rPr>
          <w:rFonts w:cs="Times New Roman"/>
        </w:rPr>
        <w:t xml:space="preserve">(or aggregated data of those responses) </w:t>
      </w:r>
      <w:r w:rsidRPr="007947FB">
        <w:rPr>
          <w:szCs w:val="24"/>
        </w:rPr>
        <w:t xml:space="preserve">be published in this project in addition to the Staff memo with summary statistics. </w:t>
      </w:r>
      <w:r w:rsidR="001F1859">
        <w:rPr>
          <w:szCs w:val="24"/>
        </w:rPr>
        <w:t xml:space="preserve">It would likely be helpful to be able to differentiate between the different TSPs to ascertain whether there are material differences in costs, and </w:t>
      </w:r>
      <w:r w:rsidR="00D11CF2">
        <w:rPr>
          <w:szCs w:val="24"/>
        </w:rPr>
        <w:t xml:space="preserve">that individual data </w:t>
      </w:r>
      <w:r w:rsidR="001F1859">
        <w:rPr>
          <w:szCs w:val="24"/>
        </w:rPr>
        <w:t xml:space="preserve">should not have </w:t>
      </w:r>
      <w:r w:rsidR="00D11CF2">
        <w:rPr>
          <w:szCs w:val="24"/>
        </w:rPr>
        <w:t>confidential</w:t>
      </w:r>
      <w:r w:rsidR="001F1859">
        <w:rPr>
          <w:szCs w:val="24"/>
        </w:rPr>
        <w:t>ity concerns if it is already included in rate base</w:t>
      </w:r>
      <w:r w:rsidR="00D11CF2">
        <w:rPr>
          <w:szCs w:val="24"/>
        </w:rPr>
        <w:t>.</w:t>
      </w:r>
      <w:r w:rsidRPr="007947FB">
        <w:rPr>
          <w:szCs w:val="24"/>
        </w:rPr>
        <w:t xml:space="preserve"> </w:t>
      </w:r>
      <w:r w:rsidR="001F1859">
        <w:rPr>
          <w:szCs w:val="24"/>
        </w:rPr>
        <w:t xml:space="preserve">Making </w:t>
      </w:r>
      <w:r w:rsidR="002D2CE5">
        <w:rPr>
          <w:szCs w:val="24"/>
        </w:rPr>
        <w:t>this information</w:t>
      </w:r>
      <w:r w:rsidRPr="00533DE0">
        <w:rPr>
          <w:szCs w:val="24"/>
        </w:rPr>
        <w:t xml:space="preserve"> </w:t>
      </w:r>
      <w:r w:rsidR="001F1859">
        <w:rPr>
          <w:szCs w:val="24"/>
        </w:rPr>
        <w:t xml:space="preserve">available </w:t>
      </w:r>
      <w:r w:rsidRPr="00533DE0">
        <w:rPr>
          <w:szCs w:val="24"/>
        </w:rPr>
        <w:t xml:space="preserve">will be useful for public input as the rulemaking progresses and ultimately for data driven policy determinations associated with Staff questions.  For example, this data could be used to guide discussion regarding a reasonable allowance in terms of various measures such as a total fixed allowance, volumetric $/MW allowance, allowance based on a historical cost distribution or some other means.  Additionally, granular data rather than summary data will allow better public discussion since outliers may be hidden by averages. </w:t>
      </w:r>
      <w:r w:rsidRPr="007947FB">
        <w:rPr>
          <w:szCs w:val="24"/>
        </w:rPr>
        <w:t xml:space="preserve">  </w:t>
      </w:r>
    </w:p>
    <w:p w14:paraId="10B78D2D" w14:textId="1DCBE9D0" w:rsidR="00E2185F" w:rsidRPr="00533DE0" w:rsidRDefault="008E7489" w:rsidP="00E2185F">
      <w:pPr>
        <w:spacing w:line="480" w:lineRule="auto"/>
        <w:ind w:firstLine="360"/>
        <w:jc w:val="center"/>
        <w:rPr>
          <w:b/>
          <w:bCs/>
          <w:szCs w:val="24"/>
        </w:rPr>
      </w:pPr>
      <w:r w:rsidRPr="00533DE0">
        <w:rPr>
          <w:b/>
          <w:bCs/>
          <w:szCs w:val="24"/>
        </w:rPr>
        <w:t>CONCLUSION</w:t>
      </w:r>
    </w:p>
    <w:p w14:paraId="04497120" w14:textId="7CADA501" w:rsidR="008E7489" w:rsidRPr="00533DE0" w:rsidRDefault="008E7489" w:rsidP="009979AC">
      <w:pPr>
        <w:spacing w:line="480" w:lineRule="auto"/>
        <w:ind w:firstLine="360"/>
        <w:jc w:val="left"/>
        <w:rPr>
          <w:szCs w:val="24"/>
        </w:rPr>
      </w:pPr>
      <w:r w:rsidRPr="00533DE0">
        <w:rPr>
          <w:szCs w:val="24"/>
        </w:rPr>
        <w:tab/>
        <w:t xml:space="preserve">TCPA appreciates the </w:t>
      </w:r>
      <w:r w:rsidR="00E2185F" w:rsidRPr="00533DE0">
        <w:rPr>
          <w:szCs w:val="24"/>
        </w:rPr>
        <w:t>thoughtful comments from other market participants and the opportunity</w:t>
      </w:r>
      <w:r w:rsidRPr="00533DE0">
        <w:rPr>
          <w:szCs w:val="24"/>
        </w:rPr>
        <w:t xml:space="preserve"> to </w:t>
      </w:r>
      <w:r w:rsidR="00E2185F" w:rsidRPr="00533DE0">
        <w:rPr>
          <w:szCs w:val="24"/>
        </w:rPr>
        <w:t xml:space="preserve">reply to the limited </w:t>
      </w:r>
      <w:r w:rsidR="00FB4C1C" w:rsidRPr="00533DE0">
        <w:rPr>
          <w:szCs w:val="24"/>
        </w:rPr>
        <w:t xml:space="preserve">ideas for which additional complexity is not warranted to </w:t>
      </w:r>
      <w:r w:rsidR="00FB4C1C" w:rsidRPr="00533DE0">
        <w:rPr>
          <w:szCs w:val="24"/>
        </w:rPr>
        <w:lastRenderedPageBreak/>
        <w:t>improve reliability and protect consumers. We look forward to continuing to work with</w:t>
      </w:r>
      <w:r w:rsidR="009979AC" w:rsidRPr="00533DE0">
        <w:rPr>
          <w:szCs w:val="24"/>
        </w:rPr>
        <w:t xml:space="preserve"> the Commission</w:t>
      </w:r>
      <w:r w:rsidRPr="00533DE0">
        <w:rPr>
          <w:szCs w:val="24"/>
        </w:rPr>
        <w:t>, Staff</w:t>
      </w:r>
      <w:r w:rsidR="00895652">
        <w:rPr>
          <w:szCs w:val="24"/>
        </w:rPr>
        <w:t>,</w:t>
      </w:r>
      <w:r w:rsidRPr="00533DE0">
        <w:rPr>
          <w:szCs w:val="24"/>
        </w:rPr>
        <w:t xml:space="preserve"> and other stakeholders </w:t>
      </w:r>
      <w:r w:rsidR="00A94717">
        <w:rPr>
          <w:szCs w:val="24"/>
        </w:rPr>
        <w:t xml:space="preserve">at the November 7 workshop and </w:t>
      </w:r>
      <w:r w:rsidRPr="00533DE0">
        <w:rPr>
          <w:szCs w:val="24"/>
        </w:rPr>
        <w:t xml:space="preserve">throughout this project. </w:t>
      </w:r>
    </w:p>
    <w:p w14:paraId="1A4D2798" w14:textId="77777777" w:rsidR="008E7489" w:rsidRPr="00533DE0" w:rsidRDefault="008E7489" w:rsidP="00B24F5A">
      <w:pPr>
        <w:pStyle w:val="BodyText"/>
        <w:keepNext/>
        <w:keepLines/>
        <w:ind w:left="3330" w:firstLine="720"/>
        <w:rPr>
          <w:szCs w:val="24"/>
        </w:rPr>
      </w:pPr>
    </w:p>
    <w:p w14:paraId="7179C457" w14:textId="78543145" w:rsidR="008E7489" w:rsidRPr="00533DE0" w:rsidRDefault="009979AC" w:rsidP="009979AC">
      <w:pPr>
        <w:pStyle w:val="BodyText"/>
        <w:keepNext/>
        <w:keepLines/>
        <w:jc w:val="left"/>
        <w:rPr>
          <w:szCs w:val="24"/>
        </w:rPr>
      </w:pPr>
      <w:r w:rsidRPr="00533DE0">
        <w:rPr>
          <w:szCs w:val="24"/>
        </w:rPr>
        <w:tab/>
        <w:t>Dated: October 25, 2023</w:t>
      </w:r>
    </w:p>
    <w:p w14:paraId="6F878CCF" w14:textId="633D7CDD" w:rsidR="00B24F5A" w:rsidRPr="00533DE0" w:rsidRDefault="008E7489" w:rsidP="00B24F5A">
      <w:pPr>
        <w:pStyle w:val="BodyText"/>
        <w:keepNext/>
        <w:keepLines/>
        <w:ind w:left="3330" w:firstLine="720"/>
        <w:rPr>
          <w:szCs w:val="24"/>
        </w:rPr>
      </w:pPr>
      <w:r w:rsidRPr="00533DE0">
        <w:rPr>
          <w:szCs w:val="24"/>
        </w:rPr>
        <w:t xml:space="preserve">   </w:t>
      </w:r>
      <w:r w:rsidR="00B24F5A" w:rsidRPr="00533DE0">
        <w:rPr>
          <w:szCs w:val="24"/>
        </w:rPr>
        <w:t>Respectfully submitted,</w:t>
      </w:r>
    </w:p>
    <w:p w14:paraId="3E31E1A0" w14:textId="77777777" w:rsidR="00B24F5A" w:rsidRPr="006E537A" w:rsidRDefault="00B24F5A" w:rsidP="00B24F5A">
      <w:pPr>
        <w:pStyle w:val="BodyText"/>
        <w:keepNext/>
        <w:keepLines/>
        <w:ind w:left="3330" w:firstLine="720"/>
        <w:rPr>
          <w:sz w:val="22"/>
          <w:szCs w:val="22"/>
        </w:rPr>
      </w:pPr>
    </w:p>
    <w:p w14:paraId="16A7C7B5" w14:textId="08BB8B9A" w:rsidR="008E7489" w:rsidRPr="0048370E" w:rsidRDefault="008E7489" w:rsidP="008E7489">
      <w:pPr>
        <w:tabs>
          <w:tab w:val="left" w:pos="4320"/>
        </w:tabs>
        <w:ind w:right="-540"/>
        <w:rPr>
          <w:rFonts w:eastAsia="Times New Roman"/>
        </w:rPr>
      </w:pPr>
      <w:r>
        <w:rPr>
          <w:rFonts w:eastAsia="Times New Roman"/>
        </w:rPr>
        <w:tab/>
      </w:r>
      <w:r>
        <w:rPr>
          <w:rFonts w:eastAsia="Times New Roman"/>
          <w:noProof/>
        </w:rPr>
        <w:drawing>
          <wp:inline distT="0" distB="0" distL="0" distR="0" wp14:anchorId="17F0DEE9" wp14:editId="0EA4605F">
            <wp:extent cx="1925320" cy="505460"/>
            <wp:effectExtent l="0" t="0" r="0" b="889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943645" cy="510271"/>
                    </a:xfrm>
                    <a:prstGeom prst="rect">
                      <a:avLst/>
                    </a:prstGeom>
                  </pic:spPr>
                </pic:pic>
              </a:graphicData>
            </a:graphic>
          </wp:inline>
        </w:drawing>
      </w:r>
    </w:p>
    <w:p w14:paraId="3DA537A1" w14:textId="77777777" w:rsidR="008E7489" w:rsidRDefault="008E7489" w:rsidP="002249D8">
      <w:pPr>
        <w:spacing w:after="0" w:line="240" w:lineRule="auto"/>
        <w:outlineLvl w:val="0"/>
        <w:rPr>
          <w:rFonts w:eastAsia="Times New Roman"/>
        </w:rPr>
      </w:pP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Pr>
          <w:rFonts w:eastAsia="Times New Roman"/>
        </w:rPr>
        <w:tab/>
        <w:t>Michele Richmond</w:t>
      </w:r>
    </w:p>
    <w:p w14:paraId="06540345" w14:textId="77777777" w:rsidR="008E7489" w:rsidRDefault="008E7489" w:rsidP="002249D8">
      <w:pPr>
        <w:spacing w:after="0" w:line="240" w:lineRule="auto"/>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Executive Director</w:t>
      </w:r>
    </w:p>
    <w:p w14:paraId="600E1122" w14:textId="77777777" w:rsidR="008E7489" w:rsidRDefault="008E7489" w:rsidP="002249D8">
      <w:pPr>
        <w:spacing w:after="0" w:line="240" w:lineRule="auto"/>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Texas Competitive Power Advocates (TCPA)</w:t>
      </w:r>
    </w:p>
    <w:p w14:paraId="16B41F7E" w14:textId="77777777" w:rsidR="008E7489" w:rsidRPr="00A87133" w:rsidRDefault="008E7489" w:rsidP="002249D8">
      <w:pPr>
        <w:spacing w:after="0" w:line="240" w:lineRule="auto"/>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A87133">
        <w:rPr>
          <w:rFonts w:eastAsia="Times New Roman"/>
        </w:rPr>
        <w:t>(512) 653-7447</w:t>
      </w:r>
    </w:p>
    <w:p w14:paraId="43D22956" w14:textId="77C731C9" w:rsidR="00A23EAC" w:rsidRDefault="008E7489" w:rsidP="002249D8">
      <w:pPr>
        <w:spacing w:after="0" w:line="240" w:lineRule="auto"/>
        <w:ind w:firstLine="720"/>
        <w:rPr>
          <w:rStyle w:val="Hyperlink"/>
          <w:rFonts w:eastAsia="Times New Roman"/>
        </w:rPr>
      </w:pPr>
      <w:r w:rsidRPr="00A87133">
        <w:rPr>
          <w:rFonts w:eastAsia="Times New Roman"/>
        </w:rPr>
        <w:tab/>
      </w:r>
      <w:r w:rsidRPr="00A87133">
        <w:rPr>
          <w:rFonts w:eastAsia="Times New Roman"/>
        </w:rPr>
        <w:tab/>
      </w:r>
      <w:r w:rsidRPr="00A87133">
        <w:rPr>
          <w:rFonts w:eastAsia="Times New Roman"/>
        </w:rPr>
        <w:tab/>
      </w:r>
      <w:r w:rsidRPr="00A87133">
        <w:rPr>
          <w:rFonts w:eastAsia="Times New Roman"/>
        </w:rPr>
        <w:tab/>
      </w:r>
      <w:r w:rsidRPr="00A87133">
        <w:rPr>
          <w:rFonts w:eastAsia="Times New Roman"/>
        </w:rPr>
        <w:tab/>
      </w:r>
      <w:hyperlink r:id="rId9" w:history="1">
        <w:r w:rsidRPr="00B25F1A">
          <w:rPr>
            <w:rStyle w:val="Hyperlink"/>
            <w:rFonts w:eastAsia="Times New Roman"/>
          </w:rPr>
          <w:t>michele@competitivepower.org</w:t>
        </w:r>
      </w:hyperlink>
    </w:p>
    <w:p w14:paraId="086C9EF3" w14:textId="77777777" w:rsidR="00AE1B92" w:rsidRDefault="00AE1B92" w:rsidP="002249D8">
      <w:pPr>
        <w:spacing w:after="0" w:line="240" w:lineRule="auto"/>
        <w:ind w:firstLine="720"/>
        <w:rPr>
          <w:rStyle w:val="Hyperlink"/>
          <w:rFonts w:eastAsia="Times New Roman"/>
        </w:rPr>
      </w:pPr>
    </w:p>
    <w:p w14:paraId="75D019B2" w14:textId="77777777" w:rsidR="00AE1B92" w:rsidRDefault="00AE1B92" w:rsidP="002249D8">
      <w:pPr>
        <w:spacing w:after="0" w:line="240" w:lineRule="auto"/>
        <w:ind w:firstLine="720"/>
        <w:rPr>
          <w:rStyle w:val="Hyperlink"/>
          <w:rFonts w:eastAsia="Times New Roman"/>
        </w:rPr>
      </w:pPr>
    </w:p>
    <w:p w14:paraId="265FAEBE" w14:textId="77777777" w:rsidR="00AE1B92" w:rsidRDefault="00AE1B92" w:rsidP="002249D8">
      <w:pPr>
        <w:spacing w:after="0" w:line="240" w:lineRule="auto"/>
        <w:ind w:firstLine="720"/>
        <w:rPr>
          <w:rStyle w:val="Hyperlink"/>
          <w:rFonts w:eastAsia="Times New Roman"/>
        </w:rPr>
      </w:pPr>
    </w:p>
    <w:p w14:paraId="2DF02621" w14:textId="77777777" w:rsidR="00AE1B92" w:rsidRDefault="00AE1B92" w:rsidP="002249D8">
      <w:pPr>
        <w:spacing w:after="0" w:line="240" w:lineRule="auto"/>
        <w:ind w:firstLine="720"/>
        <w:rPr>
          <w:rStyle w:val="Hyperlink"/>
          <w:rFonts w:eastAsia="Times New Roman"/>
        </w:rPr>
      </w:pPr>
    </w:p>
    <w:p w14:paraId="4892B787" w14:textId="77777777" w:rsidR="00AE1B92" w:rsidRDefault="00AE1B92" w:rsidP="002249D8">
      <w:pPr>
        <w:spacing w:after="0" w:line="240" w:lineRule="auto"/>
        <w:ind w:firstLine="720"/>
        <w:rPr>
          <w:rStyle w:val="Hyperlink"/>
          <w:rFonts w:eastAsia="Times New Roman"/>
        </w:rPr>
      </w:pPr>
    </w:p>
    <w:p w14:paraId="36CD87E0" w14:textId="77777777" w:rsidR="00AE1B92" w:rsidRDefault="00AE1B92" w:rsidP="002249D8">
      <w:pPr>
        <w:spacing w:after="0" w:line="240" w:lineRule="auto"/>
        <w:ind w:firstLine="720"/>
        <w:rPr>
          <w:rStyle w:val="Hyperlink"/>
          <w:rFonts w:eastAsia="Times New Roman"/>
        </w:rPr>
      </w:pPr>
    </w:p>
    <w:p w14:paraId="59D2C530" w14:textId="77777777" w:rsidR="00AE1B92" w:rsidRDefault="00AE1B92" w:rsidP="002249D8">
      <w:pPr>
        <w:spacing w:after="0" w:line="240" w:lineRule="auto"/>
        <w:ind w:firstLine="720"/>
        <w:rPr>
          <w:rStyle w:val="Hyperlink"/>
          <w:rFonts w:eastAsia="Times New Roman"/>
        </w:rPr>
      </w:pPr>
    </w:p>
    <w:p w14:paraId="0B087DC6" w14:textId="77777777" w:rsidR="00AE1B92" w:rsidRDefault="00AE1B92" w:rsidP="002249D8">
      <w:pPr>
        <w:spacing w:after="0" w:line="240" w:lineRule="auto"/>
        <w:ind w:firstLine="720"/>
        <w:rPr>
          <w:rStyle w:val="Hyperlink"/>
          <w:rFonts w:eastAsia="Times New Roman"/>
        </w:rPr>
      </w:pPr>
    </w:p>
    <w:p w14:paraId="768238F3" w14:textId="77777777" w:rsidR="00AE1B92" w:rsidRDefault="00AE1B92" w:rsidP="002249D8">
      <w:pPr>
        <w:spacing w:after="0" w:line="240" w:lineRule="auto"/>
        <w:ind w:firstLine="720"/>
        <w:rPr>
          <w:rStyle w:val="Hyperlink"/>
          <w:rFonts w:eastAsia="Times New Roman"/>
        </w:rPr>
      </w:pPr>
    </w:p>
    <w:p w14:paraId="4559E8FD" w14:textId="77777777" w:rsidR="00AE1B92" w:rsidRDefault="00AE1B92" w:rsidP="002249D8">
      <w:pPr>
        <w:spacing w:after="0" w:line="240" w:lineRule="auto"/>
        <w:ind w:firstLine="720"/>
        <w:rPr>
          <w:rStyle w:val="Hyperlink"/>
          <w:rFonts w:eastAsia="Times New Roman"/>
        </w:rPr>
      </w:pPr>
    </w:p>
    <w:p w14:paraId="7085A0C4" w14:textId="77777777" w:rsidR="00AE1B92" w:rsidRDefault="00AE1B92" w:rsidP="002249D8">
      <w:pPr>
        <w:spacing w:after="0" w:line="240" w:lineRule="auto"/>
        <w:ind w:firstLine="720"/>
        <w:rPr>
          <w:rStyle w:val="Hyperlink"/>
          <w:rFonts w:eastAsia="Times New Roman"/>
        </w:rPr>
      </w:pPr>
    </w:p>
    <w:p w14:paraId="213E6635" w14:textId="77777777" w:rsidR="00AE1B92" w:rsidRDefault="00AE1B92" w:rsidP="002249D8">
      <w:pPr>
        <w:spacing w:after="0" w:line="240" w:lineRule="auto"/>
        <w:ind w:firstLine="720"/>
        <w:rPr>
          <w:rStyle w:val="Hyperlink"/>
          <w:rFonts w:eastAsia="Times New Roman"/>
        </w:rPr>
      </w:pPr>
    </w:p>
    <w:p w14:paraId="48355721" w14:textId="77777777" w:rsidR="00AE1B92" w:rsidRDefault="00AE1B92" w:rsidP="002249D8">
      <w:pPr>
        <w:spacing w:after="0" w:line="240" w:lineRule="auto"/>
        <w:ind w:firstLine="720"/>
        <w:rPr>
          <w:rStyle w:val="Hyperlink"/>
          <w:rFonts w:eastAsia="Times New Roman"/>
        </w:rPr>
      </w:pPr>
    </w:p>
    <w:p w14:paraId="128B118D" w14:textId="77777777" w:rsidR="00AE1B92" w:rsidRDefault="00AE1B92" w:rsidP="002249D8">
      <w:pPr>
        <w:spacing w:after="0" w:line="240" w:lineRule="auto"/>
        <w:ind w:firstLine="720"/>
        <w:rPr>
          <w:rStyle w:val="Hyperlink"/>
          <w:rFonts w:eastAsia="Times New Roman"/>
        </w:rPr>
      </w:pPr>
    </w:p>
    <w:p w14:paraId="61668B41" w14:textId="77777777" w:rsidR="001074B4" w:rsidRDefault="001074B4" w:rsidP="002249D8">
      <w:pPr>
        <w:spacing w:after="0" w:line="240" w:lineRule="auto"/>
        <w:ind w:firstLine="720"/>
        <w:rPr>
          <w:rStyle w:val="Hyperlink"/>
          <w:rFonts w:eastAsia="Times New Roman"/>
        </w:rPr>
      </w:pPr>
    </w:p>
    <w:p w14:paraId="3362E956" w14:textId="77777777" w:rsidR="001074B4" w:rsidRDefault="001074B4" w:rsidP="002249D8">
      <w:pPr>
        <w:spacing w:after="0" w:line="240" w:lineRule="auto"/>
        <w:ind w:firstLine="720"/>
        <w:rPr>
          <w:rStyle w:val="Hyperlink"/>
          <w:rFonts w:eastAsia="Times New Roman"/>
        </w:rPr>
      </w:pPr>
    </w:p>
    <w:p w14:paraId="777F5B54" w14:textId="77777777" w:rsidR="001074B4" w:rsidRDefault="001074B4" w:rsidP="002249D8">
      <w:pPr>
        <w:spacing w:after="0" w:line="240" w:lineRule="auto"/>
        <w:ind w:firstLine="720"/>
        <w:rPr>
          <w:rStyle w:val="Hyperlink"/>
          <w:rFonts w:eastAsia="Times New Roman"/>
        </w:rPr>
      </w:pPr>
    </w:p>
    <w:p w14:paraId="7D559C0E" w14:textId="77777777" w:rsidR="001074B4" w:rsidRDefault="001074B4" w:rsidP="002249D8">
      <w:pPr>
        <w:spacing w:after="0" w:line="240" w:lineRule="auto"/>
        <w:ind w:firstLine="720"/>
        <w:rPr>
          <w:rStyle w:val="Hyperlink"/>
          <w:rFonts w:eastAsia="Times New Roman"/>
        </w:rPr>
      </w:pPr>
    </w:p>
    <w:p w14:paraId="2B0CD7E5" w14:textId="77777777" w:rsidR="001074B4" w:rsidRDefault="001074B4" w:rsidP="002249D8">
      <w:pPr>
        <w:spacing w:after="0" w:line="240" w:lineRule="auto"/>
        <w:ind w:firstLine="720"/>
        <w:rPr>
          <w:rStyle w:val="Hyperlink"/>
          <w:rFonts w:eastAsia="Times New Roman"/>
        </w:rPr>
      </w:pPr>
    </w:p>
    <w:p w14:paraId="2866007E" w14:textId="77777777" w:rsidR="001074B4" w:rsidRDefault="001074B4" w:rsidP="002249D8">
      <w:pPr>
        <w:spacing w:after="0" w:line="240" w:lineRule="auto"/>
        <w:ind w:firstLine="720"/>
        <w:rPr>
          <w:rStyle w:val="Hyperlink"/>
          <w:rFonts w:eastAsia="Times New Roman"/>
        </w:rPr>
      </w:pPr>
    </w:p>
    <w:p w14:paraId="2C78A1C7" w14:textId="77777777" w:rsidR="001074B4" w:rsidRDefault="001074B4" w:rsidP="002249D8">
      <w:pPr>
        <w:spacing w:after="0" w:line="240" w:lineRule="auto"/>
        <w:ind w:firstLine="720"/>
        <w:rPr>
          <w:rStyle w:val="Hyperlink"/>
          <w:rFonts w:eastAsia="Times New Roman"/>
        </w:rPr>
      </w:pPr>
    </w:p>
    <w:p w14:paraId="662B3BC0" w14:textId="77777777" w:rsidR="00AE1B92" w:rsidRDefault="00AE1B92" w:rsidP="002249D8">
      <w:pPr>
        <w:spacing w:after="0" w:line="240" w:lineRule="auto"/>
        <w:ind w:firstLine="720"/>
        <w:rPr>
          <w:rStyle w:val="Hyperlink"/>
          <w:rFonts w:eastAsia="Times New Roman"/>
        </w:rPr>
      </w:pPr>
    </w:p>
    <w:p w14:paraId="4EA1856C" w14:textId="77777777" w:rsidR="00AE1B92" w:rsidRDefault="00AE1B92" w:rsidP="002249D8">
      <w:pPr>
        <w:spacing w:after="0" w:line="240" w:lineRule="auto"/>
        <w:ind w:firstLine="720"/>
        <w:rPr>
          <w:rStyle w:val="Hyperlink"/>
          <w:rFonts w:eastAsia="Times New Roman"/>
        </w:rPr>
      </w:pPr>
    </w:p>
    <w:p w14:paraId="410FA3F5" w14:textId="77777777" w:rsidR="00CC4055" w:rsidRDefault="00CC4055" w:rsidP="00AE1B92">
      <w:pPr>
        <w:spacing w:after="0" w:line="240" w:lineRule="auto"/>
        <w:ind w:firstLine="720"/>
        <w:jc w:val="center"/>
        <w:rPr>
          <w:rStyle w:val="Hyperlink"/>
          <w:rFonts w:eastAsia="Times New Roman"/>
          <w:color w:val="auto"/>
        </w:rPr>
      </w:pPr>
    </w:p>
    <w:p w14:paraId="7D50016A" w14:textId="5A77C922" w:rsidR="00AE1B92" w:rsidRPr="00AE1B92" w:rsidRDefault="00AE1B92" w:rsidP="00AE1B92">
      <w:pPr>
        <w:spacing w:after="0" w:line="240" w:lineRule="auto"/>
        <w:ind w:firstLine="720"/>
        <w:jc w:val="center"/>
        <w:rPr>
          <w:rStyle w:val="Hyperlink"/>
          <w:rFonts w:eastAsia="Times New Roman"/>
          <w:color w:val="auto"/>
        </w:rPr>
      </w:pPr>
      <w:r w:rsidRPr="00AE1B92">
        <w:rPr>
          <w:rStyle w:val="Hyperlink"/>
          <w:rFonts w:eastAsia="Times New Roman"/>
          <w:color w:val="auto"/>
        </w:rPr>
        <w:lastRenderedPageBreak/>
        <w:t>EXECUTIVE SUMMARY OF TCPA COMMENTS</w:t>
      </w:r>
    </w:p>
    <w:p w14:paraId="064C4822" w14:textId="77777777" w:rsidR="00AE1B92" w:rsidRDefault="00AE1B92" w:rsidP="00AE1B92">
      <w:pPr>
        <w:spacing w:after="0" w:line="240" w:lineRule="auto"/>
        <w:ind w:firstLine="720"/>
        <w:jc w:val="center"/>
        <w:rPr>
          <w:rStyle w:val="Hyperlink"/>
          <w:rFonts w:eastAsia="Times New Roman"/>
        </w:rPr>
      </w:pPr>
    </w:p>
    <w:p w14:paraId="1F2EC20E" w14:textId="23E3215F" w:rsidR="004439B8" w:rsidRDefault="00001FC9" w:rsidP="0058396F">
      <w:pPr>
        <w:pStyle w:val="ListParagraph"/>
        <w:numPr>
          <w:ilvl w:val="0"/>
          <w:numId w:val="33"/>
        </w:numPr>
        <w:spacing w:after="0" w:line="480" w:lineRule="auto"/>
        <w:jc w:val="left"/>
        <w:rPr>
          <w:rStyle w:val="Hyperlink"/>
          <w:rFonts w:eastAsia="Times New Roman"/>
          <w:color w:val="auto"/>
          <w:u w:val="none"/>
        </w:rPr>
      </w:pPr>
      <w:r>
        <w:rPr>
          <w:rStyle w:val="Hyperlink"/>
          <w:rFonts w:eastAsia="Times New Roman"/>
          <w:color w:val="auto"/>
          <w:u w:val="none"/>
        </w:rPr>
        <w:t xml:space="preserve">TCPA opposes the proposal by some commenters to reallocate developer costs. </w:t>
      </w:r>
    </w:p>
    <w:p w14:paraId="3403ED1C" w14:textId="0EFCD3C3" w:rsidR="00BA7412" w:rsidRPr="003C47E9" w:rsidRDefault="00BA7412" w:rsidP="003117EC">
      <w:pPr>
        <w:pStyle w:val="ListParagraph"/>
        <w:numPr>
          <w:ilvl w:val="1"/>
          <w:numId w:val="33"/>
        </w:numPr>
        <w:spacing w:after="0" w:line="480" w:lineRule="auto"/>
        <w:jc w:val="left"/>
        <w:rPr>
          <w:rFonts w:eastAsia="Times New Roman"/>
        </w:rPr>
      </w:pPr>
      <w:r>
        <w:rPr>
          <w:rFonts w:cs="Times New Roman"/>
        </w:rPr>
        <w:t>Regulatory certainty regarding interconnection cost rules is very important for developers and interconnection costs should be readily apparent upfront.</w:t>
      </w:r>
    </w:p>
    <w:p w14:paraId="66B0E168" w14:textId="5ABE473A" w:rsidR="003C47E9" w:rsidRPr="003C47E9" w:rsidRDefault="005C3E86" w:rsidP="0058396F">
      <w:pPr>
        <w:pStyle w:val="ListParagraph"/>
        <w:numPr>
          <w:ilvl w:val="0"/>
          <w:numId w:val="33"/>
        </w:numPr>
        <w:spacing w:after="0" w:line="480" w:lineRule="auto"/>
        <w:jc w:val="left"/>
        <w:rPr>
          <w:rFonts w:eastAsia="Times New Roman"/>
        </w:rPr>
      </w:pPr>
      <w:r>
        <w:rPr>
          <w:rFonts w:cs="Times New Roman"/>
          <w:szCs w:val="24"/>
        </w:rPr>
        <w:t>Statute’s u</w:t>
      </w:r>
      <w:r w:rsidR="003C47E9">
        <w:rPr>
          <w:rFonts w:cs="Times New Roman"/>
          <w:szCs w:val="24"/>
        </w:rPr>
        <w:t xml:space="preserve">se of the singular “the allowance” and “a reasonable allowance” indicates a legislative preference for a </w:t>
      </w:r>
      <w:r>
        <w:rPr>
          <w:rFonts w:cs="Times New Roman"/>
          <w:szCs w:val="24"/>
        </w:rPr>
        <w:t xml:space="preserve">single </w:t>
      </w:r>
      <w:r w:rsidR="003C47E9">
        <w:rPr>
          <w:rFonts w:cs="Times New Roman"/>
          <w:szCs w:val="24"/>
        </w:rPr>
        <w:t xml:space="preserve">system-wide allowance. </w:t>
      </w:r>
    </w:p>
    <w:p w14:paraId="1F79984B" w14:textId="2A8E5E12" w:rsidR="003C47E9" w:rsidRPr="0058396F" w:rsidRDefault="003C47E9" w:rsidP="003117EC">
      <w:pPr>
        <w:pStyle w:val="ListParagraph"/>
        <w:numPr>
          <w:ilvl w:val="1"/>
          <w:numId w:val="33"/>
        </w:numPr>
        <w:spacing w:after="0" w:line="480" w:lineRule="auto"/>
        <w:jc w:val="left"/>
        <w:rPr>
          <w:rFonts w:eastAsia="Times New Roman"/>
        </w:rPr>
      </w:pPr>
      <w:r>
        <w:rPr>
          <w:rFonts w:cs="Times New Roman"/>
          <w:szCs w:val="24"/>
        </w:rPr>
        <w:t xml:space="preserve">The proposal to set an allowance based on voltage level </w:t>
      </w:r>
      <w:r w:rsidR="005C3E86">
        <w:rPr>
          <w:rFonts w:cs="Times New Roman"/>
          <w:szCs w:val="24"/>
        </w:rPr>
        <w:t xml:space="preserve">could </w:t>
      </w:r>
      <w:r>
        <w:rPr>
          <w:rFonts w:cs="Times New Roman"/>
          <w:szCs w:val="24"/>
        </w:rPr>
        <w:t>incentivize interconnection decisions based on voltage level, rather than on which interconnection option best delivers power effectively and efficiently to the grid.</w:t>
      </w:r>
      <w:r w:rsidR="005C3E86">
        <w:rPr>
          <w:rFonts w:cs="Times New Roman"/>
          <w:szCs w:val="24"/>
        </w:rPr>
        <w:t xml:space="preserve"> TSP data should help to inform this consideration.</w:t>
      </w:r>
    </w:p>
    <w:p w14:paraId="33DA0E68" w14:textId="0C41764E" w:rsidR="0058396F" w:rsidRPr="0058396F" w:rsidRDefault="0058396F" w:rsidP="003117EC">
      <w:pPr>
        <w:pStyle w:val="ListParagraph"/>
        <w:numPr>
          <w:ilvl w:val="1"/>
          <w:numId w:val="33"/>
        </w:numPr>
        <w:spacing w:after="0" w:line="480" w:lineRule="auto"/>
        <w:jc w:val="left"/>
        <w:rPr>
          <w:rFonts w:eastAsia="Times New Roman"/>
        </w:rPr>
      </w:pPr>
      <w:r>
        <w:rPr>
          <w:rFonts w:cs="Times New Roman"/>
          <w:szCs w:val="24"/>
        </w:rPr>
        <w:t xml:space="preserve">TSP-specific allowances may increase rather decrease inefficient </w:t>
      </w:r>
      <w:proofErr w:type="gramStart"/>
      <w:r>
        <w:rPr>
          <w:rFonts w:cs="Times New Roman"/>
          <w:szCs w:val="24"/>
        </w:rPr>
        <w:t>siting</w:t>
      </w:r>
      <w:proofErr w:type="gramEnd"/>
      <w:r>
        <w:rPr>
          <w:rFonts w:cs="Times New Roman"/>
          <w:szCs w:val="24"/>
        </w:rPr>
        <w:t xml:space="preserve"> decisions and cause inequities in resource availability and location.</w:t>
      </w:r>
    </w:p>
    <w:p w14:paraId="1090CAFA" w14:textId="44ADC618" w:rsidR="0058396F" w:rsidRPr="00BA7412" w:rsidRDefault="0058396F" w:rsidP="003117EC">
      <w:pPr>
        <w:pStyle w:val="ListParagraph"/>
        <w:numPr>
          <w:ilvl w:val="1"/>
          <w:numId w:val="33"/>
        </w:numPr>
        <w:spacing w:after="0" w:line="480" w:lineRule="auto"/>
        <w:jc w:val="left"/>
        <w:rPr>
          <w:rFonts w:eastAsia="Times New Roman"/>
        </w:rPr>
      </w:pPr>
      <w:r>
        <w:rPr>
          <w:rFonts w:cs="Times New Roman"/>
          <w:szCs w:val="24"/>
        </w:rPr>
        <w:t xml:space="preserve">If a formulaic approach to the allowance is preferred, ensuring it is based on the </w:t>
      </w:r>
      <w:r w:rsidR="005C3E86">
        <w:rPr>
          <w:rFonts w:cs="Times New Roman"/>
          <w:szCs w:val="24"/>
        </w:rPr>
        <w:t xml:space="preserve">interconnecting resource’s </w:t>
      </w:r>
      <w:r>
        <w:rPr>
          <w:rFonts w:cs="Times New Roman"/>
          <w:szCs w:val="24"/>
        </w:rPr>
        <w:t>reliability provided to the grid would be an equitable system-wide method to determine allowance.</w:t>
      </w:r>
    </w:p>
    <w:p w14:paraId="0DDAB048" w14:textId="0C9AF1F8" w:rsidR="00BA7412" w:rsidRPr="00BF3186" w:rsidRDefault="00BA7412" w:rsidP="0058396F">
      <w:pPr>
        <w:pStyle w:val="ListParagraph"/>
        <w:numPr>
          <w:ilvl w:val="0"/>
          <w:numId w:val="33"/>
        </w:numPr>
        <w:spacing w:after="0" w:line="480" w:lineRule="auto"/>
        <w:jc w:val="left"/>
        <w:rPr>
          <w:rFonts w:eastAsia="Times New Roman"/>
        </w:rPr>
      </w:pPr>
      <w:r>
        <w:rPr>
          <w:rFonts w:cs="Times New Roman"/>
        </w:rPr>
        <w:t xml:space="preserve">Making TSP interconnection data public </w:t>
      </w:r>
      <w:r w:rsidR="00BF3186">
        <w:rPr>
          <w:rFonts w:cs="Times New Roman"/>
        </w:rPr>
        <w:t>will be helpful in receiving public information during the rulemaking process and driving data-determined decisions.</w:t>
      </w:r>
    </w:p>
    <w:sectPr w:rsidR="00BA7412" w:rsidRPr="00BF3186" w:rsidSect="00EF166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8495" w14:textId="77777777" w:rsidR="00B03BB0" w:rsidRDefault="00B03BB0" w:rsidP="0042771D">
      <w:pPr>
        <w:spacing w:after="0" w:line="240" w:lineRule="auto"/>
      </w:pPr>
      <w:r>
        <w:separator/>
      </w:r>
    </w:p>
  </w:endnote>
  <w:endnote w:type="continuationSeparator" w:id="0">
    <w:p w14:paraId="4ADAEE7A" w14:textId="77777777" w:rsidR="00B03BB0" w:rsidRDefault="00B03BB0" w:rsidP="00427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Verdana Pro">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31ED" w14:textId="77777777" w:rsidR="00DE39FD" w:rsidRDefault="00DE3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406768"/>
      <w:docPartObj>
        <w:docPartGallery w:val="Page Numbers (Bottom of Page)"/>
        <w:docPartUnique/>
      </w:docPartObj>
    </w:sdtPr>
    <w:sdtEndPr>
      <w:rPr>
        <w:noProof/>
      </w:rPr>
    </w:sdtEndPr>
    <w:sdtContent>
      <w:p w14:paraId="4AEF83AE" w14:textId="68F53C48" w:rsidR="000D4A46" w:rsidRDefault="000D4A46">
        <w:pPr>
          <w:pStyle w:val="Footer"/>
          <w:jc w:val="right"/>
        </w:pPr>
        <w:r>
          <w:fldChar w:fldCharType="begin"/>
        </w:r>
        <w:r>
          <w:instrText xml:space="preserve"> PAGE   \* MERGEFORMAT </w:instrText>
        </w:r>
        <w:r>
          <w:fldChar w:fldCharType="separate"/>
        </w:r>
        <w:r w:rsidR="00633836">
          <w:rPr>
            <w:noProof/>
          </w:rPr>
          <w:t>4</w:t>
        </w:r>
        <w:r>
          <w:rPr>
            <w:noProof/>
          </w:rPr>
          <w:fldChar w:fldCharType="end"/>
        </w:r>
      </w:p>
    </w:sdtContent>
  </w:sdt>
  <w:p w14:paraId="619B8001" w14:textId="77777777" w:rsidR="000D4A46" w:rsidRDefault="000D4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D77A0" w14:textId="77777777" w:rsidR="00DE39FD" w:rsidRDefault="00DE3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1F0BE" w14:textId="77777777" w:rsidR="00B03BB0" w:rsidRDefault="00B03BB0" w:rsidP="0042771D">
      <w:pPr>
        <w:spacing w:after="0" w:line="240" w:lineRule="auto"/>
      </w:pPr>
      <w:r>
        <w:separator/>
      </w:r>
    </w:p>
  </w:footnote>
  <w:footnote w:type="continuationSeparator" w:id="0">
    <w:p w14:paraId="6D8D674C" w14:textId="77777777" w:rsidR="00B03BB0" w:rsidRDefault="00B03BB0" w:rsidP="0042771D">
      <w:pPr>
        <w:spacing w:after="0" w:line="240" w:lineRule="auto"/>
      </w:pPr>
      <w:r>
        <w:continuationSeparator/>
      </w:r>
    </w:p>
  </w:footnote>
  <w:footnote w:id="1">
    <w:p w14:paraId="309A9CE7" w14:textId="61D91573" w:rsidR="00552F98" w:rsidRPr="00855095" w:rsidRDefault="00552F98" w:rsidP="00552F98">
      <w:pPr>
        <w:pStyle w:val="FootnoteText"/>
        <w:ind w:firstLine="720"/>
        <w:rPr>
          <w:rFonts w:cs="Times New Roman"/>
        </w:rPr>
      </w:pPr>
      <w:r w:rsidRPr="00855095">
        <w:rPr>
          <w:rStyle w:val="FootnoteReference"/>
        </w:rPr>
        <w:footnoteRef/>
      </w:r>
      <w:r w:rsidRPr="00855095">
        <w:rPr>
          <w:rFonts w:cs="Times New Roman"/>
        </w:rPr>
        <w:t xml:space="preserve"> TCPA is a trade association representing power generation companies and wholesale power marketers with investments in Texas and the Electric Reliability Council of Texas (ERCOT) wholesale electric market. TCPA members and their affiliates provide a wide range of important market functions and services in ERCOT, including development, operation, and management of power generation assets, power scheduling and marketing, energy management services and sales of competitive electric service to consumers. TCPA members participating in this filing </w:t>
      </w:r>
      <w:r>
        <w:rPr>
          <w:rFonts w:cs="Times New Roman"/>
        </w:rPr>
        <w:t>own more than 55,000 MW of</w:t>
      </w:r>
      <w:r w:rsidRPr="00855095">
        <w:rPr>
          <w:rFonts w:cs="Times New Roman"/>
        </w:rPr>
        <w:t xml:space="preserve"> generating capacity in ERCOT, representing billions of dollars of investment in the state, and employing thousands of Texans. </w:t>
      </w:r>
      <w:r w:rsidRPr="0011418A">
        <w:rPr>
          <w:rFonts w:cs="Times New Roman"/>
        </w:rPr>
        <w:t xml:space="preserve">TCPA member companies participating in these comments </w:t>
      </w:r>
      <w:proofErr w:type="gramStart"/>
      <w:r w:rsidRPr="0011418A">
        <w:rPr>
          <w:rFonts w:cs="Times New Roman"/>
        </w:rPr>
        <w:t>include:</w:t>
      </w:r>
      <w:proofErr w:type="gramEnd"/>
      <w:r w:rsidRPr="0011418A">
        <w:rPr>
          <w:rFonts w:cs="Times New Roman"/>
        </w:rPr>
        <w:t xml:space="preserve"> Calpine, </w:t>
      </w:r>
      <w:proofErr w:type="spellStart"/>
      <w:r w:rsidRPr="0011418A">
        <w:rPr>
          <w:rFonts w:cs="Times New Roman"/>
        </w:rPr>
        <w:t>Cogentrix</w:t>
      </w:r>
      <w:proofErr w:type="spellEnd"/>
      <w:r w:rsidRPr="0011418A">
        <w:rPr>
          <w:rFonts w:cs="Times New Roman"/>
        </w:rPr>
        <w:t xml:space="preserve">, Constellation (formerly Exelon), EDF Trading North America, </w:t>
      </w:r>
      <w:r>
        <w:rPr>
          <w:rFonts w:cs="Times New Roman"/>
        </w:rPr>
        <w:t>Hull Street Energy</w:t>
      </w:r>
      <w:r w:rsidRPr="0011418A">
        <w:rPr>
          <w:rFonts w:cs="Times New Roman"/>
        </w:rPr>
        <w:t>,</w:t>
      </w:r>
      <w:r>
        <w:rPr>
          <w:rFonts w:cs="Times New Roman"/>
        </w:rPr>
        <w:t xml:space="preserve"> LS Power,</w:t>
      </w:r>
      <w:r w:rsidRPr="0011418A">
        <w:rPr>
          <w:rFonts w:cs="Times New Roman"/>
        </w:rPr>
        <w:t xml:space="preserve"> </w:t>
      </w:r>
      <w:r>
        <w:rPr>
          <w:rFonts w:cs="Times New Roman"/>
        </w:rPr>
        <w:t>NRG, Rockland Capital</w:t>
      </w:r>
      <w:r w:rsidRPr="0011418A">
        <w:rPr>
          <w:rFonts w:cs="Times New Roman"/>
        </w:rPr>
        <w:t xml:space="preserve">, </w:t>
      </w:r>
      <w:r>
        <w:rPr>
          <w:rFonts w:cs="Times New Roman"/>
        </w:rPr>
        <w:t xml:space="preserve">Shell Energy North America, </w:t>
      </w:r>
      <w:r w:rsidRPr="0011418A">
        <w:rPr>
          <w:rFonts w:cs="Times New Roman"/>
        </w:rPr>
        <w:t xml:space="preserve">Talen Energy, Tenaska, </w:t>
      </w:r>
      <w:proofErr w:type="spellStart"/>
      <w:r w:rsidRPr="0011418A">
        <w:rPr>
          <w:rFonts w:cs="Times New Roman"/>
        </w:rPr>
        <w:t>TexGen</w:t>
      </w:r>
      <w:proofErr w:type="spellEnd"/>
      <w:r w:rsidRPr="0011418A">
        <w:rPr>
          <w:rFonts w:cs="Times New Roman"/>
        </w:rPr>
        <w:t xml:space="preserve"> Power,</w:t>
      </w:r>
      <w:r>
        <w:rPr>
          <w:rFonts w:cs="Times New Roman"/>
        </w:rPr>
        <w:t xml:space="preserve"> </w:t>
      </w:r>
      <w:r w:rsidR="00382911">
        <w:rPr>
          <w:rFonts w:cs="Times New Roman"/>
        </w:rPr>
        <w:t xml:space="preserve">and </w:t>
      </w:r>
      <w:proofErr w:type="spellStart"/>
      <w:r>
        <w:rPr>
          <w:rFonts w:cs="Times New Roman"/>
        </w:rPr>
        <w:t>Vistra</w:t>
      </w:r>
      <w:proofErr w:type="spellEnd"/>
      <w:r w:rsidR="002250D7">
        <w:rPr>
          <w:rFonts w:cs="Times New Roman"/>
        </w:rPr>
        <w:t>.</w:t>
      </w:r>
      <w:r w:rsidRPr="0011418A">
        <w:rPr>
          <w:rFonts w:cs="Times New Roman"/>
        </w:rPr>
        <w:t xml:space="preserve"> </w:t>
      </w:r>
      <w:proofErr w:type="spellStart"/>
      <w:r w:rsidRPr="0011418A">
        <w:rPr>
          <w:rFonts w:cs="Times New Roman"/>
        </w:rPr>
        <w:t>WattBridge</w:t>
      </w:r>
      <w:proofErr w:type="spellEnd"/>
      <w:r w:rsidR="00382911">
        <w:rPr>
          <w:rFonts w:cs="Times New Roman"/>
        </w:rPr>
        <w:t xml:space="preserve"> is filing separate comments</w:t>
      </w:r>
      <w:r w:rsidRPr="0011418A">
        <w:rPr>
          <w:rFonts w:cs="Times New Roman"/>
        </w:rPr>
        <w:t>.</w:t>
      </w:r>
      <w:r>
        <w:rPr>
          <w:rFonts w:cs="Times New Roman"/>
        </w:rPr>
        <w:t xml:space="preserve"> </w:t>
      </w:r>
    </w:p>
  </w:footnote>
  <w:footnote w:id="2">
    <w:p w14:paraId="662819D9" w14:textId="7768BB13" w:rsidR="005D3769" w:rsidRDefault="005D3769" w:rsidP="005D3769">
      <w:pPr>
        <w:pStyle w:val="FootnoteText"/>
      </w:pPr>
      <w:r>
        <w:rPr>
          <w:rStyle w:val="FootnoteReference"/>
        </w:rPr>
        <w:footnoteRef/>
      </w:r>
      <w:r>
        <w:t xml:space="preserve"> </w:t>
      </w:r>
      <w:r w:rsidR="00533DE0">
        <w:t>PUC Project 55566, Generation Interconnection Allowance, Texas Electric Cooperatives Comments and Apex Clean Energy and Cypress Creek Renewables Comments, filed on October 13, 2023.</w:t>
      </w:r>
    </w:p>
  </w:footnote>
  <w:footnote w:id="3">
    <w:p w14:paraId="3CB36200" w14:textId="63033276" w:rsidR="00305352" w:rsidRDefault="00305352">
      <w:pPr>
        <w:pStyle w:val="FootnoteText"/>
      </w:pPr>
      <w:r>
        <w:rPr>
          <w:rStyle w:val="FootnoteReference"/>
        </w:rPr>
        <w:footnoteRef/>
      </w:r>
      <w:r>
        <w:t xml:space="preserve"> </w:t>
      </w:r>
      <w:r w:rsidR="00533DE0">
        <w:t>PUC Project 55566, Generation Interconnection Allowance, CenterPoint Energy Houston Electric Comments; Texas-New Mexico Power Company Comments; Oncor Electric Delivery Company Comments; Joint Comments of AEP Texas and Electric Transmission Texas, filed on October 13, 2023.</w:t>
      </w:r>
    </w:p>
  </w:footnote>
  <w:footnote w:id="4">
    <w:p w14:paraId="08471629" w14:textId="4E070DAB" w:rsidR="00C55B79" w:rsidRDefault="00C55B79">
      <w:pPr>
        <w:pStyle w:val="FootnoteText"/>
      </w:pPr>
      <w:r>
        <w:rPr>
          <w:rStyle w:val="FootnoteReference"/>
        </w:rPr>
        <w:footnoteRef/>
      </w:r>
      <w:r>
        <w:t xml:space="preserve"> </w:t>
      </w:r>
      <w:r w:rsidR="00533DE0">
        <w:t xml:space="preserve">PUC Project 55566, Generation Interconnection Allowance, LCRA Transmission Services Comments and Texas Public Power Association Comments, filed on October 13, 2023. </w:t>
      </w:r>
    </w:p>
  </w:footnote>
  <w:footnote w:id="5">
    <w:p w14:paraId="0D87D85D" w14:textId="0BFB0E13" w:rsidR="00543573" w:rsidRDefault="00543573">
      <w:pPr>
        <w:pStyle w:val="FootnoteText"/>
      </w:pPr>
      <w:r>
        <w:rPr>
          <w:rStyle w:val="FootnoteReference"/>
        </w:rPr>
        <w:footnoteRef/>
      </w:r>
      <w:r>
        <w:t xml:space="preserve"> </w:t>
      </w:r>
      <w:r w:rsidR="00D65944">
        <w:t xml:space="preserve">PUC Project 55566, Generation Interconnection Allowance, Texas Industrial Energy Consumers Comments, filed on October 13, 2023. </w:t>
      </w:r>
    </w:p>
  </w:footnote>
  <w:footnote w:id="6">
    <w:p w14:paraId="1D2877E1" w14:textId="32925F30" w:rsidR="00DA4648" w:rsidRDefault="00DA4648">
      <w:pPr>
        <w:pStyle w:val="FootnoteText"/>
      </w:pPr>
      <w:r>
        <w:rPr>
          <w:rStyle w:val="FootnoteReference"/>
        </w:rPr>
        <w:footnoteRef/>
      </w:r>
      <w:r>
        <w:t xml:space="preserve"> </w:t>
      </w:r>
      <w:hyperlink r:id="rId1" w:history="1">
        <w:r w:rsidR="00D65944" w:rsidRPr="0024782F">
          <w:rPr>
            <w:rStyle w:val="Hyperlink"/>
          </w:rPr>
          <w:t>https://interchange.puc.texas.gov/Documents/55566_6_1336931.PDF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9F6" w14:textId="77777777" w:rsidR="00DE39FD" w:rsidRDefault="00DE39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4E26" w14:textId="4AA2F2C0" w:rsidR="00DE39FD" w:rsidRDefault="00DE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F959" w14:textId="77777777" w:rsidR="00DE39FD" w:rsidRDefault="00DE3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840"/>
    <w:multiLevelType w:val="hybridMultilevel"/>
    <w:tmpl w:val="FC82BE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37317"/>
    <w:multiLevelType w:val="hybridMultilevel"/>
    <w:tmpl w:val="626AFF66"/>
    <w:lvl w:ilvl="0" w:tplc="AD82FC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E14FA"/>
    <w:multiLevelType w:val="hybridMultilevel"/>
    <w:tmpl w:val="0C22C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6AE"/>
    <w:multiLevelType w:val="hybridMultilevel"/>
    <w:tmpl w:val="C7802B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F93F74"/>
    <w:multiLevelType w:val="hybridMultilevel"/>
    <w:tmpl w:val="2C5AE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C0A14"/>
    <w:multiLevelType w:val="hybridMultilevel"/>
    <w:tmpl w:val="9D0C814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311FA8"/>
    <w:multiLevelType w:val="hybridMultilevel"/>
    <w:tmpl w:val="6890D0D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030F9B"/>
    <w:multiLevelType w:val="hybridMultilevel"/>
    <w:tmpl w:val="F8822D0C"/>
    <w:lvl w:ilvl="0" w:tplc="36A8242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0D1D3E"/>
    <w:multiLevelType w:val="hybridMultilevel"/>
    <w:tmpl w:val="15A0EB6A"/>
    <w:lvl w:ilvl="0" w:tplc="01F8EA62">
      <w:start w:val="1"/>
      <w:numFmt w:val="bullet"/>
      <w:lvlText w:val="•"/>
      <w:lvlJc w:val="left"/>
      <w:pPr>
        <w:tabs>
          <w:tab w:val="num" w:pos="720"/>
        </w:tabs>
        <w:ind w:left="720" w:hanging="360"/>
      </w:pPr>
      <w:rPr>
        <w:rFonts w:ascii="Arial" w:hAnsi="Arial" w:hint="default"/>
      </w:rPr>
    </w:lvl>
    <w:lvl w:ilvl="1" w:tplc="3214AE98">
      <w:numFmt w:val="bullet"/>
      <w:lvlText w:val="–"/>
      <w:lvlJc w:val="left"/>
      <w:pPr>
        <w:tabs>
          <w:tab w:val="num" w:pos="1440"/>
        </w:tabs>
        <w:ind w:left="1440" w:hanging="360"/>
      </w:pPr>
      <w:rPr>
        <w:rFonts w:ascii="Arial" w:hAnsi="Arial" w:hint="default"/>
      </w:rPr>
    </w:lvl>
    <w:lvl w:ilvl="2" w:tplc="952649A0" w:tentative="1">
      <w:start w:val="1"/>
      <w:numFmt w:val="bullet"/>
      <w:lvlText w:val="•"/>
      <w:lvlJc w:val="left"/>
      <w:pPr>
        <w:tabs>
          <w:tab w:val="num" w:pos="2160"/>
        </w:tabs>
        <w:ind w:left="2160" w:hanging="360"/>
      </w:pPr>
      <w:rPr>
        <w:rFonts w:ascii="Arial" w:hAnsi="Arial" w:hint="default"/>
      </w:rPr>
    </w:lvl>
    <w:lvl w:ilvl="3" w:tplc="E4AE625E" w:tentative="1">
      <w:start w:val="1"/>
      <w:numFmt w:val="bullet"/>
      <w:lvlText w:val="•"/>
      <w:lvlJc w:val="left"/>
      <w:pPr>
        <w:tabs>
          <w:tab w:val="num" w:pos="2880"/>
        </w:tabs>
        <w:ind w:left="2880" w:hanging="360"/>
      </w:pPr>
      <w:rPr>
        <w:rFonts w:ascii="Arial" w:hAnsi="Arial" w:hint="default"/>
      </w:rPr>
    </w:lvl>
    <w:lvl w:ilvl="4" w:tplc="0BC0437E" w:tentative="1">
      <w:start w:val="1"/>
      <w:numFmt w:val="bullet"/>
      <w:lvlText w:val="•"/>
      <w:lvlJc w:val="left"/>
      <w:pPr>
        <w:tabs>
          <w:tab w:val="num" w:pos="3600"/>
        </w:tabs>
        <w:ind w:left="3600" w:hanging="360"/>
      </w:pPr>
      <w:rPr>
        <w:rFonts w:ascii="Arial" w:hAnsi="Arial" w:hint="default"/>
      </w:rPr>
    </w:lvl>
    <w:lvl w:ilvl="5" w:tplc="B7D85F80" w:tentative="1">
      <w:start w:val="1"/>
      <w:numFmt w:val="bullet"/>
      <w:lvlText w:val="•"/>
      <w:lvlJc w:val="left"/>
      <w:pPr>
        <w:tabs>
          <w:tab w:val="num" w:pos="4320"/>
        </w:tabs>
        <w:ind w:left="4320" w:hanging="360"/>
      </w:pPr>
      <w:rPr>
        <w:rFonts w:ascii="Arial" w:hAnsi="Arial" w:hint="default"/>
      </w:rPr>
    </w:lvl>
    <w:lvl w:ilvl="6" w:tplc="0F6266E2" w:tentative="1">
      <w:start w:val="1"/>
      <w:numFmt w:val="bullet"/>
      <w:lvlText w:val="•"/>
      <w:lvlJc w:val="left"/>
      <w:pPr>
        <w:tabs>
          <w:tab w:val="num" w:pos="5040"/>
        </w:tabs>
        <w:ind w:left="5040" w:hanging="360"/>
      </w:pPr>
      <w:rPr>
        <w:rFonts w:ascii="Arial" w:hAnsi="Arial" w:hint="default"/>
      </w:rPr>
    </w:lvl>
    <w:lvl w:ilvl="7" w:tplc="5DB66918" w:tentative="1">
      <w:start w:val="1"/>
      <w:numFmt w:val="bullet"/>
      <w:lvlText w:val="•"/>
      <w:lvlJc w:val="left"/>
      <w:pPr>
        <w:tabs>
          <w:tab w:val="num" w:pos="5760"/>
        </w:tabs>
        <w:ind w:left="5760" w:hanging="360"/>
      </w:pPr>
      <w:rPr>
        <w:rFonts w:ascii="Arial" w:hAnsi="Arial" w:hint="default"/>
      </w:rPr>
    </w:lvl>
    <w:lvl w:ilvl="8" w:tplc="38D24C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DF61B8"/>
    <w:multiLevelType w:val="hybridMultilevel"/>
    <w:tmpl w:val="0E22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B347F7"/>
    <w:multiLevelType w:val="hybridMultilevel"/>
    <w:tmpl w:val="12908388"/>
    <w:lvl w:ilvl="0" w:tplc="CA3E522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260608"/>
    <w:multiLevelType w:val="hybridMultilevel"/>
    <w:tmpl w:val="3DD8D81E"/>
    <w:lvl w:ilvl="0" w:tplc="B056543C">
      <w:start w:val="1"/>
      <w:numFmt w:val="decimal"/>
      <w:lvlText w:val="%1."/>
      <w:lvlJc w:val="left"/>
      <w:pPr>
        <w:ind w:left="1440" w:hanging="360"/>
      </w:pPr>
      <w:rPr>
        <w:rFonts w:hint="default"/>
        <w:b/>
        <w:bCs/>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E3C4DEC"/>
    <w:multiLevelType w:val="hybridMultilevel"/>
    <w:tmpl w:val="FE7C7FD4"/>
    <w:lvl w:ilvl="0" w:tplc="6414D25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69503C"/>
    <w:multiLevelType w:val="hybridMultilevel"/>
    <w:tmpl w:val="BEB49316"/>
    <w:lvl w:ilvl="0" w:tplc="31920566">
      <w:start w:val="1"/>
      <w:numFmt w:val="bullet"/>
      <w:lvlText w:val="•"/>
      <w:lvlJc w:val="left"/>
      <w:pPr>
        <w:tabs>
          <w:tab w:val="num" w:pos="720"/>
        </w:tabs>
        <w:ind w:left="720" w:hanging="360"/>
      </w:pPr>
      <w:rPr>
        <w:rFonts w:ascii="Arial" w:hAnsi="Arial" w:hint="default"/>
      </w:rPr>
    </w:lvl>
    <w:lvl w:ilvl="1" w:tplc="8DFEE1EE" w:tentative="1">
      <w:start w:val="1"/>
      <w:numFmt w:val="bullet"/>
      <w:lvlText w:val="•"/>
      <w:lvlJc w:val="left"/>
      <w:pPr>
        <w:tabs>
          <w:tab w:val="num" w:pos="1440"/>
        </w:tabs>
        <w:ind w:left="1440" w:hanging="360"/>
      </w:pPr>
      <w:rPr>
        <w:rFonts w:ascii="Arial" w:hAnsi="Arial" w:hint="default"/>
      </w:rPr>
    </w:lvl>
    <w:lvl w:ilvl="2" w:tplc="E20EBE08" w:tentative="1">
      <w:start w:val="1"/>
      <w:numFmt w:val="bullet"/>
      <w:lvlText w:val="•"/>
      <w:lvlJc w:val="left"/>
      <w:pPr>
        <w:tabs>
          <w:tab w:val="num" w:pos="2160"/>
        </w:tabs>
        <w:ind w:left="2160" w:hanging="360"/>
      </w:pPr>
      <w:rPr>
        <w:rFonts w:ascii="Arial" w:hAnsi="Arial" w:hint="default"/>
      </w:rPr>
    </w:lvl>
    <w:lvl w:ilvl="3" w:tplc="BDEEFED2" w:tentative="1">
      <w:start w:val="1"/>
      <w:numFmt w:val="bullet"/>
      <w:lvlText w:val="•"/>
      <w:lvlJc w:val="left"/>
      <w:pPr>
        <w:tabs>
          <w:tab w:val="num" w:pos="2880"/>
        </w:tabs>
        <w:ind w:left="2880" w:hanging="360"/>
      </w:pPr>
      <w:rPr>
        <w:rFonts w:ascii="Arial" w:hAnsi="Arial" w:hint="default"/>
      </w:rPr>
    </w:lvl>
    <w:lvl w:ilvl="4" w:tplc="6530510E" w:tentative="1">
      <w:start w:val="1"/>
      <w:numFmt w:val="bullet"/>
      <w:lvlText w:val="•"/>
      <w:lvlJc w:val="left"/>
      <w:pPr>
        <w:tabs>
          <w:tab w:val="num" w:pos="3600"/>
        </w:tabs>
        <w:ind w:left="3600" w:hanging="360"/>
      </w:pPr>
      <w:rPr>
        <w:rFonts w:ascii="Arial" w:hAnsi="Arial" w:hint="default"/>
      </w:rPr>
    </w:lvl>
    <w:lvl w:ilvl="5" w:tplc="EFB0D0EC" w:tentative="1">
      <w:start w:val="1"/>
      <w:numFmt w:val="bullet"/>
      <w:lvlText w:val="•"/>
      <w:lvlJc w:val="left"/>
      <w:pPr>
        <w:tabs>
          <w:tab w:val="num" w:pos="4320"/>
        </w:tabs>
        <w:ind w:left="4320" w:hanging="360"/>
      </w:pPr>
      <w:rPr>
        <w:rFonts w:ascii="Arial" w:hAnsi="Arial" w:hint="default"/>
      </w:rPr>
    </w:lvl>
    <w:lvl w:ilvl="6" w:tplc="6818E4E6" w:tentative="1">
      <w:start w:val="1"/>
      <w:numFmt w:val="bullet"/>
      <w:lvlText w:val="•"/>
      <w:lvlJc w:val="left"/>
      <w:pPr>
        <w:tabs>
          <w:tab w:val="num" w:pos="5040"/>
        </w:tabs>
        <w:ind w:left="5040" w:hanging="360"/>
      </w:pPr>
      <w:rPr>
        <w:rFonts w:ascii="Arial" w:hAnsi="Arial" w:hint="default"/>
      </w:rPr>
    </w:lvl>
    <w:lvl w:ilvl="7" w:tplc="0E74D28C" w:tentative="1">
      <w:start w:val="1"/>
      <w:numFmt w:val="bullet"/>
      <w:lvlText w:val="•"/>
      <w:lvlJc w:val="left"/>
      <w:pPr>
        <w:tabs>
          <w:tab w:val="num" w:pos="5760"/>
        </w:tabs>
        <w:ind w:left="5760" w:hanging="360"/>
      </w:pPr>
      <w:rPr>
        <w:rFonts w:ascii="Arial" w:hAnsi="Arial" w:hint="default"/>
      </w:rPr>
    </w:lvl>
    <w:lvl w:ilvl="8" w:tplc="FA3683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055C3D"/>
    <w:multiLevelType w:val="hybridMultilevel"/>
    <w:tmpl w:val="D5BC3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1C25"/>
    <w:multiLevelType w:val="hybridMultilevel"/>
    <w:tmpl w:val="0E82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A3239D"/>
    <w:multiLevelType w:val="hybridMultilevel"/>
    <w:tmpl w:val="909E75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CB9"/>
    <w:multiLevelType w:val="hybridMultilevel"/>
    <w:tmpl w:val="BDBEAD18"/>
    <w:lvl w:ilvl="0" w:tplc="DEE20C9A">
      <w:start w:val="1"/>
      <w:numFmt w:val="decimal"/>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D2190"/>
    <w:multiLevelType w:val="hybridMultilevel"/>
    <w:tmpl w:val="A554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B779E"/>
    <w:multiLevelType w:val="hybridMultilevel"/>
    <w:tmpl w:val="3A70574E"/>
    <w:lvl w:ilvl="0" w:tplc="313E5E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D0B75"/>
    <w:multiLevelType w:val="hybridMultilevel"/>
    <w:tmpl w:val="70A03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B1539F"/>
    <w:multiLevelType w:val="hybridMultilevel"/>
    <w:tmpl w:val="7C207A4A"/>
    <w:lvl w:ilvl="0" w:tplc="04090001">
      <w:start w:val="1"/>
      <w:numFmt w:val="bullet"/>
      <w:lvlText w:val=""/>
      <w:lvlJc w:val="left"/>
      <w:pPr>
        <w:ind w:left="1622" w:hanging="360"/>
      </w:pPr>
      <w:rPr>
        <w:rFonts w:ascii="Symbol" w:hAnsi="Symbol"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22" w15:restartNumberingAfterBreak="0">
    <w:nsid w:val="5F1B4A1E"/>
    <w:multiLevelType w:val="hybridMultilevel"/>
    <w:tmpl w:val="F59ADF52"/>
    <w:lvl w:ilvl="0" w:tplc="36A824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396102"/>
    <w:multiLevelType w:val="hybridMultilevel"/>
    <w:tmpl w:val="98EC34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93CBC"/>
    <w:multiLevelType w:val="hybridMultilevel"/>
    <w:tmpl w:val="5D481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4449D"/>
    <w:multiLevelType w:val="hybridMultilevel"/>
    <w:tmpl w:val="13CE3DE6"/>
    <w:lvl w:ilvl="0" w:tplc="F4C24D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8030AA"/>
    <w:multiLevelType w:val="hybridMultilevel"/>
    <w:tmpl w:val="4A28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3775B"/>
    <w:multiLevelType w:val="hybridMultilevel"/>
    <w:tmpl w:val="FD5699C6"/>
    <w:lvl w:ilvl="0" w:tplc="A57290A8">
      <w:start w:val="1"/>
      <w:numFmt w:val="decimal"/>
      <w:lvlText w:val="%1)"/>
      <w:lvlJc w:val="left"/>
      <w:pPr>
        <w:ind w:left="1080" w:hanging="360"/>
      </w:pPr>
      <w:rPr>
        <w:rFonts w:ascii="Times New Roman" w:hAnsi="Times New Roman"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3679F"/>
    <w:multiLevelType w:val="hybridMultilevel"/>
    <w:tmpl w:val="ABDC8AC4"/>
    <w:lvl w:ilvl="0" w:tplc="F09E7A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06803"/>
    <w:multiLevelType w:val="hybridMultilevel"/>
    <w:tmpl w:val="25A80E54"/>
    <w:lvl w:ilvl="0" w:tplc="04090001">
      <w:start w:val="1"/>
      <w:numFmt w:val="bullet"/>
      <w:lvlText w:val=""/>
      <w:lvlJc w:val="left"/>
      <w:pPr>
        <w:ind w:left="1622" w:hanging="360"/>
      </w:pPr>
      <w:rPr>
        <w:rFonts w:ascii="Symbol" w:hAnsi="Symbol" w:hint="default"/>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0" w15:restartNumberingAfterBreak="0">
    <w:nsid w:val="75EB7DD9"/>
    <w:multiLevelType w:val="hybridMultilevel"/>
    <w:tmpl w:val="543CE608"/>
    <w:lvl w:ilvl="0" w:tplc="4CE44E54">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6527830"/>
    <w:multiLevelType w:val="hybridMultilevel"/>
    <w:tmpl w:val="1A0E0D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7E0BA9"/>
    <w:multiLevelType w:val="hybridMultilevel"/>
    <w:tmpl w:val="34A883D6"/>
    <w:lvl w:ilvl="0" w:tplc="36A824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0196550">
    <w:abstractNumId w:val="19"/>
  </w:num>
  <w:num w:numId="2" w16cid:durableId="1169322573">
    <w:abstractNumId w:val="1"/>
  </w:num>
  <w:num w:numId="3" w16cid:durableId="1847943533">
    <w:abstractNumId w:val="17"/>
  </w:num>
  <w:num w:numId="4" w16cid:durableId="530456752">
    <w:abstractNumId w:val="29"/>
  </w:num>
  <w:num w:numId="5" w16cid:durableId="1657956304">
    <w:abstractNumId w:val="4"/>
  </w:num>
  <w:num w:numId="6" w16cid:durableId="292322714">
    <w:abstractNumId w:val="0"/>
  </w:num>
  <w:num w:numId="7" w16cid:durableId="240717744">
    <w:abstractNumId w:val="2"/>
  </w:num>
  <w:num w:numId="8" w16cid:durableId="1018385037">
    <w:abstractNumId w:val="16"/>
  </w:num>
  <w:num w:numId="9" w16cid:durableId="1425877968">
    <w:abstractNumId w:val="27"/>
  </w:num>
  <w:num w:numId="10" w16cid:durableId="1640114779">
    <w:abstractNumId w:val="14"/>
  </w:num>
  <w:num w:numId="11" w16cid:durableId="542056043">
    <w:abstractNumId w:val="23"/>
  </w:num>
  <w:num w:numId="12" w16cid:durableId="230888401">
    <w:abstractNumId w:val="7"/>
  </w:num>
  <w:num w:numId="13" w16cid:durableId="1445424160">
    <w:abstractNumId w:val="26"/>
  </w:num>
  <w:num w:numId="14" w16cid:durableId="2003580197">
    <w:abstractNumId w:val="32"/>
  </w:num>
  <w:num w:numId="15" w16cid:durableId="1576938769">
    <w:abstractNumId w:val="21"/>
  </w:num>
  <w:num w:numId="16" w16cid:durableId="1921059037">
    <w:abstractNumId w:val="22"/>
  </w:num>
  <w:num w:numId="17" w16cid:durableId="909929160">
    <w:abstractNumId w:val="8"/>
  </w:num>
  <w:num w:numId="18" w16cid:durableId="1925724423">
    <w:abstractNumId w:val="30"/>
  </w:num>
  <w:num w:numId="19" w16cid:durableId="446462441">
    <w:abstractNumId w:val="25"/>
  </w:num>
  <w:num w:numId="20" w16cid:durableId="218128513">
    <w:abstractNumId w:val="10"/>
  </w:num>
  <w:num w:numId="21" w16cid:durableId="992829621">
    <w:abstractNumId w:val="11"/>
  </w:num>
  <w:num w:numId="22" w16cid:durableId="258412943">
    <w:abstractNumId w:val="18"/>
  </w:num>
  <w:num w:numId="23" w16cid:durableId="1113474377">
    <w:abstractNumId w:val="12"/>
  </w:num>
  <w:num w:numId="24" w16cid:durableId="338625719">
    <w:abstractNumId w:val="28"/>
  </w:num>
  <w:num w:numId="25" w16cid:durableId="37749865">
    <w:abstractNumId w:val="5"/>
  </w:num>
  <w:num w:numId="26" w16cid:durableId="1118404513">
    <w:abstractNumId w:val="6"/>
  </w:num>
  <w:num w:numId="27" w16cid:durableId="292181272">
    <w:abstractNumId w:val="13"/>
  </w:num>
  <w:num w:numId="28" w16cid:durableId="1032538429">
    <w:abstractNumId w:val="9"/>
  </w:num>
  <w:num w:numId="29" w16cid:durableId="907763255">
    <w:abstractNumId w:val="15"/>
  </w:num>
  <w:num w:numId="30" w16cid:durableId="35745078">
    <w:abstractNumId w:val="24"/>
  </w:num>
  <w:num w:numId="31" w16cid:durableId="1437287176">
    <w:abstractNumId w:val="20"/>
  </w:num>
  <w:num w:numId="32" w16cid:durableId="1004212291">
    <w:abstractNumId w:val="3"/>
  </w:num>
  <w:num w:numId="33" w16cid:durableId="211454412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22C"/>
    <w:rsid w:val="00001FC9"/>
    <w:rsid w:val="000124C0"/>
    <w:rsid w:val="0001267D"/>
    <w:rsid w:val="000134D5"/>
    <w:rsid w:val="00014A00"/>
    <w:rsid w:val="00014D09"/>
    <w:rsid w:val="00016180"/>
    <w:rsid w:val="0002383A"/>
    <w:rsid w:val="0002528C"/>
    <w:rsid w:val="000253AC"/>
    <w:rsid w:val="000256EA"/>
    <w:rsid w:val="00025770"/>
    <w:rsid w:val="000277FC"/>
    <w:rsid w:val="00036011"/>
    <w:rsid w:val="00036BDC"/>
    <w:rsid w:val="000401CA"/>
    <w:rsid w:val="00044C58"/>
    <w:rsid w:val="00047133"/>
    <w:rsid w:val="00052054"/>
    <w:rsid w:val="0005216E"/>
    <w:rsid w:val="00053AD1"/>
    <w:rsid w:val="000567BE"/>
    <w:rsid w:val="00056D15"/>
    <w:rsid w:val="00063BC3"/>
    <w:rsid w:val="0007595A"/>
    <w:rsid w:val="00077A91"/>
    <w:rsid w:val="00084352"/>
    <w:rsid w:val="0009281F"/>
    <w:rsid w:val="0009426D"/>
    <w:rsid w:val="00096BDC"/>
    <w:rsid w:val="0009760C"/>
    <w:rsid w:val="000A0710"/>
    <w:rsid w:val="000A13C9"/>
    <w:rsid w:val="000A2A8A"/>
    <w:rsid w:val="000A618B"/>
    <w:rsid w:val="000B2B08"/>
    <w:rsid w:val="000B478C"/>
    <w:rsid w:val="000B6CB9"/>
    <w:rsid w:val="000C3B93"/>
    <w:rsid w:val="000D2FA4"/>
    <w:rsid w:val="000D40C6"/>
    <w:rsid w:val="000D4A46"/>
    <w:rsid w:val="000D51A0"/>
    <w:rsid w:val="000D72A4"/>
    <w:rsid w:val="000E1768"/>
    <w:rsid w:val="000E3167"/>
    <w:rsid w:val="000E4EE3"/>
    <w:rsid w:val="000E75C5"/>
    <w:rsid w:val="000F15FC"/>
    <w:rsid w:val="00101D49"/>
    <w:rsid w:val="001035A9"/>
    <w:rsid w:val="001074B4"/>
    <w:rsid w:val="0011512E"/>
    <w:rsid w:val="00122989"/>
    <w:rsid w:val="00124F50"/>
    <w:rsid w:val="00126633"/>
    <w:rsid w:val="00126F9F"/>
    <w:rsid w:val="0013131B"/>
    <w:rsid w:val="00140D9F"/>
    <w:rsid w:val="00143126"/>
    <w:rsid w:val="00146A41"/>
    <w:rsid w:val="00151831"/>
    <w:rsid w:val="001522F7"/>
    <w:rsid w:val="001569EC"/>
    <w:rsid w:val="00156EBA"/>
    <w:rsid w:val="00157DDD"/>
    <w:rsid w:val="00162D41"/>
    <w:rsid w:val="0016395E"/>
    <w:rsid w:val="0017428F"/>
    <w:rsid w:val="00174642"/>
    <w:rsid w:val="00177B68"/>
    <w:rsid w:val="001800CC"/>
    <w:rsid w:val="00190688"/>
    <w:rsid w:val="0019396E"/>
    <w:rsid w:val="001A10C4"/>
    <w:rsid w:val="001A18C6"/>
    <w:rsid w:val="001A38D4"/>
    <w:rsid w:val="001A52A6"/>
    <w:rsid w:val="001A6377"/>
    <w:rsid w:val="001B327D"/>
    <w:rsid w:val="001B48FC"/>
    <w:rsid w:val="001B5E4A"/>
    <w:rsid w:val="001B72BE"/>
    <w:rsid w:val="001B7F1E"/>
    <w:rsid w:val="001C0FC7"/>
    <w:rsid w:val="001C4D2E"/>
    <w:rsid w:val="001C4E09"/>
    <w:rsid w:val="001C7A7E"/>
    <w:rsid w:val="001D2144"/>
    <w:rsid w:val="001D3208"/>
    <w:rsid w:val="001D4743"/>
    <w:rsid w:val="001D70AA"/>
    <w:rsid w:val="001E2EA2"/>
    <w:rsid w:val="001E4207"/>
    <w:rsid w:val="001E6F81"/>
    <w:rsid w:val="001F012E"/>
    <w:rsid w:val="001F1859"/>
    <w:rsid w:val="001F38E6"/>
    <w:rsid w:val="001F7301"/>
    <w:rsid w:val="002049E2"/>
    <w:rsid w:val="00204B7B"/>
    <w:rsid w:val="00204D3E"/>
    <w:rsid w:val="0020550C"/>
    <w:rsid w:val="00210859"/>
    <w:rsid w:val="002129EE"/>
    <w:rsid w:val="0022424C"/>
    <w:rsid w:val="002249D8"/>
    <w:rsid w:val="002250D7"/>
    <w:rsid w:val="00236997"/>
    <w:rsid w:val="0024529B"/>
    <w:rsid w:val="00245908"/>
    <w:rsid w:val="0024633F"/>
    <w:rsid w:val="00251261"/>
    <w:rsid w:val="00255C23"/>
    <w:rsid w:val="00257F7A"/>
    <w:rsid w:val="0026166F"/>
    <w:rsid w:val="0026282C"/>
    <w:rsid w:val="00274B19"/>
    <w:rsid w:val="00276E9D"/>
    <w:rsid w:val="00281FC9"/>
    <w:rsid w:val="002910C1"/>
    <w:rsid w:val="00295A08"/>
    <w:rsid w:val="00296389"/>
    <w:rsid w:val="00296DC9"/>
    <w:rsid w:val="002976BE"/>
    <w:rsid w:val="002A02D5"/>
    <w:rsid w:val="002A4D2F"/>
    <w:rsid w:val="002B375D"/>
    <w:rsid w:val="002C72BE"/>
    <w:rsid w:val="002D2CE5"/>
    <w:rsid w:val="002D5222"/>
    <w:rsid w:val="002D5369"/>
    <w:rsid w:val="002E12D3"/>
    <w:rsid w:val="002E414A"/>
    <w:rsid w:val="002E4365"/>
    <w:rsid w:val="002F2CAB"/>
    <w:rsid w:val="002F42D3"/>
    <w:rsid w:val="002F4D09"/>
    <w:rsid w:val="002F63E6"/>
    <w:rsid w:val="00304B72"/>
    <w:rsid w:val="00305352"/>
    <w:rsid w:val="00305ADF"/>
    <w:rsid w:val="003068C7"/>
    <w:rsid w:val="003117EC"/>
    <w:rsid w:val="00320FC6"/>
    <w:rsid w:val="00321A7B"/>
    <w:rsid w:val="00322AF8"/>
    <w:rsid w:val="00344AB6"/>
    <w:rsid w:val="00350EDF"/>
    <w:rsid w:val="00351979"/>
    <w:rsid w:val="00352EC2"/>
    <w:rsid w:val="00355213"/>
    <w:rsid w:val="00355442"/>
    <w:rsid w:val="00360BE6"/>
    <w:rsid w:val="00360F5D"/>
    <w:rsid w:val="003635ED"/>
    <w:rsid w:val="00372DC9"/>
    <w:rsid w:val="00374758"/>
    <w:rsid w:val="00382911"/>
    <w:rsid w:val="00383083"/>
    <w:rsid w:val="00383EB0"/>
    <w:rsid w:val="0038480A"/>
    <w:rsid w:val="003913F2"/>
    <w:rsid w:val="003920D6"/>
    <w:rsid w:val="00395351"/>
    <w:rsid w:val="003A08FB"/>
    <w:rsid w:val="003A489B"/>
    <w:rsid w:val="003A66A5"/>
    <w:rsid w:val="003B233D"/>
    <w:rsid w:val="003C1B03"/>
    <w:rsid w:val="003C464B"/>
    <w:rsid w:val="003C47E9"/>
    <w:rsid w:val="003D0A0C"/>
    <w:rsid w:val="003D6089"/>
    <w:rsid w:val="003D6440"/>
    <w:rsid w:val="003D6757"/>
    <w:rsid w:val="003D733F"/>
    <w:rsid w:val="003E11CD"/>
    <w:rsid w:val="003E4FCC"/>
    <w:rsid w:val="003E53F4"/>
    <w:rsid w:val="003E73D6"/>
    <w:rsid w:val="003F5FA0"/>
    <w:rsid w:val="00407D0B"/>
    <w:rsid w:val="0042771D"/>
    <w:rsid w:val="00431CAA"/>
    <w:rsid w:val="00432955"/>
    <w:rsid w:val="00433A01"/>
    <w:rsid w:val="00436028"/>
    <w:rsid w:val="00440645"/>
    <w:rsid w:val="004425DC"/>
    <w:rsid w:val="004439B8"/>
    <w:rsid w:val="00450053"/>
    <w:rsid w:val="00453825"/>
    <w:rsid w:val="0045451E"/>
    <w:rsid w:val="004607CC"/>
    <w:rsid w:val="0046165F"/>
    <w:rsid w:val="00461DCB"/>
    <w:rsid w:val="004623B6"/>
    <w:rsid w:val="0046399F"/>
    <w:rsid w:val="00465176"/>
    <w:rsid w:val="00466713"/>
    <w:rsid w:val="0046735D"/>
    <w:rsid w:val="004763A8"/>
    <w:rsid w:val="00487F6C"/>
    <w:rsid w:val="004903D4"/>
    <w:rsid w:val="004A0B17"/>
    <w:rsid w:val="004B2C88"/>
    <w:rsid w:val="004B521C"/>
    <w:rsid w:val="004B5449"/>
    <w:rsid w:val="004C0C77"/>
    <w:rsid w:val="004C1873"/>
    <w:rsid w:val="004D0593"/>
    <w:rsid w:val="004D2307"/>
    <w:rsid w:val="004D2BD4"/>
    <w:rsid w:val="004D3E50"/>
    <w:rsid w:val="004D4291"/>
    <w:rsid w:val="004D685F"/>
    <w:rsid w:val="004E5575"/>
    <w:rsid w:val="004E62BB"/>
    <w:rsid w:val="004F0561"/>
    <w:rsid w:val="004F56EE"/>
    <w:rsid w:val="004F5E28"/>
    <w:rsid w:val="004F652B"/>
    <w:rsid w:val="004F77DA"/>
    <w:rsid w:val="0050231F"/>
    <w:rsid w:val="00516264"/>
    <w:rsid w:val="00521B29"/>
    <w:rsid w:val="00521D04"/>
    <w:rsid w:val="00525872"/>
    <w:rsid w:val="00526C5F"/>
    <w:rsid w:val="0053111E"/>
    <w:rsid w:val="00531E3E"/>
    <w:rsid w:val="00532E8A"/>
    <w:rsid w:val="00533DE0"/>
    <w:rsid w:val="00534DE7"/>
    <w:rsid w:val="00535A34"/>
    <w:rsid w:val="005372F6"/>
    <w:rsid w:val="00543573"/>
    <w:rsid w:val="00543707"/>
    <w:rsid w:val="00552F98"/>
    <w:rsid w:val="00554645"/>
    <w:rsid w:val="00560269"/>
    <w:rsid w:val="00561449"/>
    <w:rsid w:val="005666ED"/>
    <w:rsid w:val="0056735F"/>
    <w:rsid w:val="00572402"/>
    <w:rsid w:val="00581852"/>
    <w:rsid w:val="0058396F"/>
    <w:rsid w:val="005848C4"/>
    <w:rsid w:val="00585BC7"/>
    <w:rsid w:val="00590B61"/>
    <w:rsid w:val="00596A86"/>
    <w:rsid w:val="005B0D3B"/>
    <w:rsid w:val="005B2C8A"/>
    <w:rsid w:val="005B4134"/>
    <w:rsid w:val="005B5496"/>
    <w:rsid w:val="005B5F99"/>
    <w:rsid w:val="005B7D3C"/>
    <w:rsid w:val="005B7F4D"/>
    <w:rsid w:val="005C17A8"/>
    <w:rsid w:val="005C3D1F"/>
    <w:rsid w:val="005C3E86"/>
    <w:rsid w:val="005C5F1D"/>
    <w:rsid w:val="005D01DA"/>
    <w:rsid w:val="005D1EFB"/>
    <w:rsid w:val="005D3769"/>
    <w:rsid w:val="005D6598"/>
    <w:rsid w:val="005E00F4"/>
    <w:rsid w:val="005E0516"/>
    <w:rsid w:val="005E3C2D"/>
    <w:rsid w:val="005E5BE5"/>
    <w:rsid w:val="005F7386"/>
    <w:rsid w:val="00602C76"/>
    <w:rsid w:val="00606B33"/>
    <w:rsid w:val="00610E73"/>
    <w:rsid w:val="00611305"/>
    <w:rsid w:val="006170B3"/>
    <w:rsid w:val="00620C6E"/>
    <w:rsid w:val="0062172E"/>
    <w:rsid w:val="00633836"/>
    <w:rsid w:val="006338B2"/>
    <w:rsid w:val="00636FC0"/>
    <w:rsid w:val="00637FC2"/>
    <w:rsid w:val="00640E16"/>
    <w:rsid w:val="0064167E"/>
    <w:rsid w:val="00642BAB"/>
    <w:rsid w:val="00650D65"/>
    <w:rsid w:val="006546A4"/>
    <w:rsid w:val="00654949"/>
    <w:rsid w:val="00660A4A"/>
    <w:rsid w:val="006636B9"/>
    <w:rsid w:val="006658D8"/>
    <w:rsid w:val="006659D3"/>
    <w:rsid w:val="00666F1D"/>
    <w:rsid w:val="0067034F"/>
    <w:rsid w:val="0067202A"/>
    <w:rsid w:val="006740F8"/>
    <w:rsid w:val="00674EB8"/>
    <w:rsid w:val="00680A3E"/>
    <w:rsid w:val="0068185A"/>
    <w:rsid w:val="00684129"/>
    <w:rsid w:val="00685C4E"/>
    <w:rsid w:val="006A0D47"/>
    <w:rsid w:val="006B3FBA"/>
    <w:rsid w:val="006C645E"/>
    <w:rsid w:val="006D3A6E"/>
    <w:rsid w:val="006D499E"/>
    <w:rsid w:val="006D55CB"/>
    <w:rsid w:val="006D5C91"/>
    <w:rsid w:val="006D70F5"/>
    <w:rsid w:val="006E537A"/>
    <w:rsid w:val="006E5CCC"/>
    <w:rsid w:val="006F2560"/>
    <w:rsid w:val="00702067"/>
    <w:rsid w:val="00703A87"/>
    <w:rsid w:val="00706BCE"/>
    <w:rsid w:val="00712F7B"/>
    <w:rsid w:val="00713A09"/>
    <w:rsid w:val="00715A62"/>
    <w:rsid w:val="0072063D"/>
    <w:rsid w:val="00720841"/>
    <w:rsid w:val="00723F15"/>
    <w:rsid w:val="00734546"/>
    <w:rsid w:val="00734BC9"/>
    <w:rsid w:val="0073585C"/>
    <w:rsid w:val="00736A01"/>
    <w:rsid w:val="0074522C"/>
    <w:rsid w:val="00747303"/>
    <w:rsid w:val="00752749"/>
    <w:rsid w:val="00752C69"/>
    <w:rsid w:val="00752FC6"/>
    <w:rsid w:val="0075369A"/>
    <w:rsid w:val="00756936"/>
    <w:rsid w:val="007616F8"/>
    <w:rsid w:val="00762CE6"/>
    <w:rsid w:val="00763DA7"/>
    <w:rsid w:val="0076531D"/>
    <w:rsid w:val="0077182D"/>
    <w:rsid w:val="00771FC6"/>
    <w:rsid w:val="00772161"/>
    <w:rsid w:val="00775292"/>
    <w:rsid w:val="00784C2E"/>
    <w:rsid w:val="007913F5"/>
    <w:rsid w:val="00791435"/>
    <w:rsid w:val="007947B0"/>
    <w:rsid w:val="007947FB"/>
    <w:rsid w:val="007A0415"/>
    <w:rsid w:val="007A293A"/>
    <w:rsid w:val="007A31D2"/>
    <w:rsid w:val="007B06FD"/>
    <w:rsid w:val="007B4249"/>
    <w:rsid w:val="007B53D8"/>
    <w:rsid w:val="007C0C90"/>
    <w:rsid w:val="007C72FB"/>
    <w:rsid w:val="007D597E"/>
    <w:rsid w:val="007D5FFA"/>
    <w:rsid w:val="007D60CF"/>
    <w:rsid w:val="007E0381"/>
    <w:rsid w:val="007F0C32"/>
    <w:rsid w:val="007F2057"/>
    <w:rsid w:val="00802F73"/>
    <w:rsid w:val="00807819"/>
    <w:rsid w:val="00810571"/>
    <w:rsid w:val="00814B22"/>
    <w:rsid w:val="0082778C"/>
    <w:rsid w:val="00841533"/>
    <w:rsid w:val="00842CC4"/>
    <w:rsid w:val="00844333"/>
    <w:rsid w:val="00852441"/>
    <w:rsid w:val="00877337"/>
    <w:rsid w:val="00886737"/>
    <w:rsid w:val="00887B31"/>
    <w:rsid w:val="00892F1D"/>
    <w:rsid w:val="00895652"/>
    <w:rsid w:val="00895973"/>
    <w:rsid w:val="008A0ED5"/>
    <w:rsid w:val="008A34AF"/>
    <w:rsid w:val="008B24B9"/>
    <w:rsid w:val="008B28C4"/>
    <w:rsid w:val="008B48C7"/>
    <w:rsid w:val="008C16E8"/>
    <w:rsid w:val="008C3300"/>
    <w:rsid w:val="008C3327"/>
    <w:rsid w:val="008C3377"/>
    <w:rsid w:val="008C5057"/>
    <w:rsid w:val="008D2F95"/>
    <w:rsid w:val="008E14CB"/>
    <w:rsid w:val="008E537E"/>
    <w:rsid w:val="008E7489"/>
    <w:rsid w:val="008F347F"/>
    <w:rsid w:val="008F4DF3"/>
    <w:rsid w:val="0090166E"/>
    <w:rsid w:val="00903CD9"/>
    <w:rsid w:val="0092329B"/>
    <w:rsid w:val="009243EC"/>
    <w:rsid w:val="00926FC3"/>
    <w:rsid w:val="00932391"/>
    <w:rsid w:val="00932412"/>
    <w:rsid w:val="00935DC1"/>
    <w:rsid w:val="00936B3D"/>
    <w:rsid w:val="009374F7"/>
    <w:rsid w:val="009413D5"/>
    <w:rsid w:val="00941603"/>
    <w:rsid w:val="00941F4A"/>
    <w:rsid w:val="009422F7"/>
    <w:rsid w:val="00942AC4"/>
    <w:rsid w:val="0094520A"/>
    <w:rsid w:val="00953EE0"/>
    <w:rsid w:val="0095551A"/>
    <w:rsid w:val="009563BC"/>
    <w:rsid w:val="00956A21"/>
    <w:rsid w:val="00966DAB"/>
    <w:rsid w:val="00970873"/>
    <w:rsid w:val="00974EA3"/>
    <w:rsid w:val="00975D0A"/>
    <w:rsid w:val="00977D8B"/>
    <w:rsid w:val="00980C0E"/>
    <w:rsid w:val="00983471"/>
    <w:rsid w:val="00983AC7"/>
    <w:rsid w:val="009909A6"/>
    <w:rsid w:val="00993C46"/>
    <w:rsid w:val="0099467E"/>
    <w:rsid w:val="00995DDF"/>
    <w:rsid w:val="00995F32"/>
    <w:rsid w:val="009979AC"/>
    <w:rsid w:val="009A263D"/>
    <w:rsid w:val="009B0E5B"/>
    <w:rsid w:val="009B145A"/>
    <w:rsid w:val="009B197D"/>
    <w:rsid w:val="009C52F8"/>
    <w:rsid w:val="009C5CA1"/>
    <w:rsid w:val="009D37B8"/>
    <w:rsid w:val="009D55B3"/>
    <w:rsid w:val="009D5B89"/>
    <w:rsid w:val="009D7802"/>
    <w:rsid w:val="009E65AF"/>
    <w:rsid w:val="009E6CA7"/>
    <w:rsid w:val="009E7106"/>
    <w:rsid w:val="009F1ADA"/>
    <w:rsid w:val="00A01922"/>
    <w:rsid w:val="00A041C3"/>
    <w:rsid w:val="00A110B6"/>
    <w:rsid w:val="00A17529"/>
    <w:rsid w:val="00A20E18"/>
    <w:rsid w:val="00A23EAC"/>
    <w:rsid w:val="00A2445E"/>
    <w:rsid w:val="00A24F1F"/>
    <w:rsid w:val="00A24F49"/>
    <w:rsid w:val="00A338C1"/>
    <w:rsid w:val="00A35066"/>
    <w:rsid w:val="00A350D3"/>
    <w:rsid w:val="00A3760D"/>
    <w:rsid w:val="00A4176F"/>
    <w:rsid w:val="00A42EA2"/>
    <w:rsid w:val="00A506CB"/>
    <w:rsid w:val="00A51F74"/>
    <w:rsid w:val="00A52E33"/>
    <w:rsid w:val="00A53E86"/>
    <w:rsid w:val="00A7001C"/>
    <w:rsid w:val="00A72462"/>
    <w:rsid w:val="00A736B5"/>
    <w:rsid w:val="00A738BC"/>
    <w:rsid w:val="00A775D6"/>
    <w:rsid w:val="00A94717"/>
    <w:rsid w:val="00AA2C03"/>
    <w:rsid w:val="00AA38A3"/>
    <w:rsid w:val="00AB2248"/>
    <w:rsid w:val="00AB27F2"/>
    <w:rsid w:val="00AC00D2"/>
    <w:rsid w:val="00AC046F"/>
    <w:rsid w:val="00AC2170"/>
    <w:rsid w:val="00AD2D8A"/>
    <w:rsid w:val="00AE02CA"/>
    <w:rsid w:val="00AE1B92"/>
    <w:rsid w:val="00AE2808"/>
    <w:rsid w:val="00AF1AC7"/>
    <w:rsid w:val="00AF4CEC"/>
    <w:rsid w:val="00AF5459"/>
    <w:rsid w:val="00B00C51"/>
    <w:rsid w:val="00B03245"/>
    <w:rsid w:val="00B03BB0"/>
    <w:rsid w:val="00B12B68"/>
    <w:rsid w:val="00B1350D"/>
    <w:rsid w:val="00B150D1"/>
    <w:rsid w:val="00B15AFD"/>
    <w:rsid w:val="00B2091B"/>
    <w:rsid w:val="00B216A2"/>
    <w:rsid w:val="00B22487"/>
    <w:rsid w:val="00B243E2"/>
    <w:rsid w:val="00B24889"/>
    <w:rsid w:val="00B24F5A"/>
    <w:rsid w:val="00B264DF"/>
    <w:rsid w:val="00B405D1"/>
    <w:rsid w:val="00B426BF"/>
    <w:rsid w:val="00B52907"/>
    <w:rsid w:val="00B5418F"/>
    <w:rsid w:val="00B57155"/>
    <w:rsid w:val="00B610A4"/>
    <w:rsid w:val="00B612FE"/>
    <w:rsid w:val="00B62D71"/>
    <w:rsid w:val="00B63CA3"/>
    <w:rsid w:val="00B71234"/>
    <w:rsid w:val="00B72069"/>
    <w:rsid w:val="00B74F24"/>
    <w:rsid w:val="00B804BD"/>
    <w:rsid w:val="00B83A3B"/>
    <w:rsid w:val="00B86BD2"/>
    <w:rsid w:val="00B91837"/>
    <w:rsid w:val="00B92BC3"/>
    <w:rsid w:val="00B9340B"/>
    <w:rsid w:val="00B94860"/>
    <w:rsid w:val="00BA0576"/>
    <w:rsid w:val="00BA7412"/>
    <w:rsid w:val="00BB33F9"/>
    <w:rsid w:val="00BB5882"/>
    <w:rsid w:val="00BB7712"/>
    <w:rsid w:val="00BB7BE2"/>
    <w:rsid w:val="00BC1A1E"/>
    <w:rsid w:val="00BC1F32"/>
    <w:rsid w:val="00BC2860"/>
    <w:rsid w:val="00BD1D2C"/>
    <w:rsid w:val="00BD2FC6"/>
    <w:rsid w:val="00BD3EE3"/>
    <w:rsid w:val="00BD5EA2"/>
    <w:rsid w:val="00BD683D"/>
    <w:rsid w:val="00BE3C57"/>
    <w:rsid w:val="00BF2DCA"/>
    <w:rsid w:val="00BF3186"/>
    <w:rsid w:val="00BF69FA"/>
    <w:rsid w:val="00BF7D3A"/>
    <w:rsid w:val="00C01119"/>
    <w:rsid w:val="00C01760"/>
    <w:rsid w:val="00C128BF"/>
    <w:rsid w:val="00C13287"/>
    <w:rsid w:val="00C14522"/>
    <w:rsid w:val="00C15B4B"/>
    <w:rsid w:val="00C16A33"/>
    <w:rsid w:val="00C20837"/>
    <w:rsid w:val="00C2097A"/>
    <w:rsid w:val="00C32BEA"/>
    <w:rsid w:val="00C43CB8"/>
    <w:rsid w:val="00C52EA6"/>
    <w:rsid w:val="00C55B79"/>
    <w:rsid w:val="00C57FC5"/>
    <w:rsid w:val="00C6188C"/>
    <w:rsid w:val="00C6690C"/>
    <w:rsid w:val="00C67A1F"/>
    <w:rsid w:val="00C67D68"/>
    <w:rsid w:val="00C704B3"/>
    <w:rsid w:val="00C704FA"/>
    <w:rsid w:val="00C724C8"/>
    <w:rsid w:val="00C734D6"/>
    <w:rsid w:val="00C75811"/>
    <w:rsid w:val="00C76F1A"/>
    <w:rsid w:val="00C93E36"/>
    <w:rsid w:val="00C9494A"/>
    <w:rsid w:val="00C95DF6"/>
    <w:rsid w:val="00C95FFB"/>
    <w:rsid w:val="00C97F6D"/>
    <w:rsid w:val="00CA0BA6"/>
    <w:rsid w:val="00CA248A"/>
    <w:rsid w:val="00CA3D83"/>
    <w:rsid w:val="00CA5C05"/>
    <w:rsid w:val="00CB2B12"/>
    <w:rsid w:val="00CB6FC8"/>
    <w:rsid w:val="00CC045D"/>
    <w:rsid w:val="00CC4055"/>
    <w:rsid w:val="00CC41CC"/>
    <w:rsid w:val="00CD1437"/>
    <w:rsid w:val="00CD1445"/>
    <w:rsid w:val="00CD320A"/>
    <w:rsid w:val="00CD3E9D"/>
    <w:rsid w:val="00CD676B"/>
    <w:rsid w:val="00CD6778"/>
    <w:rsid w:val="00CF25D8"/>
    <w:rsid w:val="00CF466A"/>
    <w:rsid w:val="00CF6F5E"/>
    <w:rsid w:val="00CF7776"/>
    <w:rsid w:val="00D07DB6"/>
    <w:rsid w:val="00D11CF2"/>
    <w:rsid w:val="00D15867"/>
    <w:rsid w:val="00D2032F"/>
    <w:rsid w:val="00D22165"/>
    <w:rsid w:val="00D22C91"/>
    <w:rsid w:val="00D2374F"/>
    <w:rsid w:val="00D2509A"/>
    <w:rsid w:val="00D31D7F"/>
    <w:rsid w:val="00D36DBF"/>
    <w:rsid w:val="00D40B34"/>
    <w:rsid w:val="00D4498C"/>
    <w:rsid w:val="00D45D41"/>
    <w:rsid w:val="00D51892"/>
    <w:rsid w:val="00D52F9F"/>
    <w:rsid w:val="00D62E40"/>
    <w:rsid w:val="00D65944"/>
    <w:rsid w:val="00D66B70"/>
    <w:rsid w:val="00D71501"/>
    <w:rsid w:val="00D73BF3"/>
    <w:rsid w:val="00D776BC"/>
    <w:rsid w:val="00D81CE0"/>
    <w:rsid w:val="00D94049"/>
    <w:rsid w:val="00DA4648"/>
    <w:rsid w:val="00DA5621"/>
    <w:rsid w:val="00DB0CB6"/>
    <w:rsid w:val="00DB5962"/>
    <w:rsid w:val="00DB7033"/>
    <w:rsid w:val="00DC0723"/>
    <w:rsid w:val="00DC2014"/>
    <w:rsid w:val="00DC2B1F"/>
    <w:rsid w:val="00DC5EEB"/>
    <w:rsid w:val="00DD21EC"/>
    <w:rsid w:val="00DD3F62"/>
    <w:rsid w:val="00DD4379"/>
    <w:rsid w:val="00DD4543"/>
    <w:rsid w:val="00DD6DB9"/>
    <w:rsid w:val="00DE1C86"/>
    <w:rsid w:val="00DE39FD"/>
    <w:rsid w:val="00DE4BA8"/>
    <w:rsid w:val="00DE560D"/>
    <w:rsid w:val="00DE74FA"/>
    <w:rsid w:val="00DF680B"/>
    <w:rsid w:val="00E02629"/>
    <w:rsid w:val="00E0272F"/>
    <w:rsid w:val="00E031D6"/>
    <w:rsid w:val="00E07631"/>
    <w:rsid w:val="00E07B77"/>
    <w:rsid w:val="00E13844"/>
    <w:rsid w:val="00E171D6"/>
    <w:rsid w:val="00E20554"/>
    <w:rsid w:val="00E2185F"/>
    <w:rsid w:val="00E23859"/>
    <w:rsid w:val="00E2387B"/>
    <w:rsid w:val="00E2663C"/>
    <w:rsid w:val="00E30A86"/>
    <w:rsid w:val="00E34A0B"/>
    <w:rsid w:val="00E41EE3"/>
    <w:rsid w:val="00E45847"/>
    <w:rsid w:val="00E53585"/>
    <w:rsid w:val="00E55741"/>
    <w:rsid w:val="00E57A41"/>
    <w:rsid w:val="00E6070F"/>
    <w:rsid w:val="00E63BEC"/>
    <w:rsid w:val="00E642C6"/>
    <w:rsid w:val="00E66BBA"/>
    <w:rsid w:val="00E81177"/>
    <w:rsid w:val="00E90C22"/>
    <w:rsid w:val="00E93450"/>
    <w:rsid w:val="00E969D2"/>
    <w:rsid w:val="00EA33A5"/>
    <w:rsid w:val="00EB2A16"/>
    <w:rsid w:val="00EB3A43"/>
    <w:rsid w:val="00EB5F85"/>
    <w:rsid w:val="00EB7238"/>
    <w:rsid w:val="00ED0609"/>
    <w:rsid w:val="00ED2B24"/>
    <w:rsid w:val="00ED3179"/>
    <w:rsid w:val="00ED4067"/>
    <w:rsid w:val="00EE6833"/>
    <w:rsid w:val="00EF1660"/>
    <w:rsid w:val="00EF1D59"/>
    <w:rsid w:val="00EF4948"/>
    <w:rsid w:val="00F11CE5"/>
    <w:rsid w:val="00F1727A"/>
    <w:rsid w:val="00F17385"/>
    <w:rsid w:val="00F221C6"/>
    <w:rsid w:val="00F2603C"/>
    <w:rsid w:val="00F305C4"/>
    <w:rsid w:val="00F32EDD"/>
    <w:rsid w:val="00F334BA"/>
    <w:rsid w:val="00F33C9C"/>
    <w:rsid w:val="00F367E1"/>
    <w:rsid w:val="00F4071F"/>
    <w:rsid w:val="00F42D64"/>
    <w:rsid w:val="00F43BBB"/>
    <w:rsid w:val="00F44180"/>
    <w:rsid w:val="00F54BEE"/>
    <w:rsid w:val="00F5718A"/>
    <w:rsid w:val="00F57199"/>
    <w:rsid w:val="00F6423D"/>
    <w:rsid w:val="00F659C2"/>
    <w:rsid w:val="00F65C4E"/>
    <w:rsid w:val="00F6740A"/>
    <w:rsid w:val="00F72650"/>
    <w:rsid w:val="00F7283B"/>
    <w:rsid w:val="00F747FC"/>
    <w:rsid w:val="00F85253"/>
    <w:rsid w:val="00F855CF"/>
    <w:rsid w:val="00F8773C"/>
    <w:rsid w:val="00F9204E"/>
    <w:rsid w:val="00FA5896"/>
    <w:rsid w:val="00FA5FCE"/>
    <w:rsid w:val="00FA734E"/>
    <w:rsid w:val="00FB2442"/>
    <w:rsid w:val="00FB3A2D"/>
    <w:rsid w:val="00FB3D6A"/>
    <w:rsid w:val="00FB4C1C"/>
    <w:rsid w:val="00FB6999"/>
    <w:rsid w:val="00FC0999"/>
    <w:rsid w:val="00FC1625"/>
    <w:rsid w:val="00FD436A"/>
    <w:rsid w:val="00FD45FC"/>
    <w:rsid w:val="00FD6062"/>
    <w:rsid w:val="00FE1019"/>
    <w:rsid w:val="00FE5130"/>
    <w:rsid w:val="00FE6DF3"/>
    <w:rsid w:val="00FF0CC3"/>
    <w:rsid w:val="00FF0E29"/>
    <w:rsid w:val="00FF25DA"/>
    <w:rsid w:val="00FF5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817BD"/>
  <w15:chartTrackingRefBased/>
  <w15:docId w15:val="{50213DCA-EBD9-42A0-A24B-7A5AB05B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22C"/>
    <w:pPr>
      <w:spacing w:after="120" w:line="276"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listparagraph">
    <w:name w:val="x_msolistparagraph"/>
    <w:basedOn w:val="Normal"/>
    <w:rsid w:val="0001267D"/>
    <w:pPr>
      <w:spacing w:after="0" w:line="240" w:lineRule="auto"/>
      <w:ind w:left="720"/>
      <w:jc w:val="left"/>
    </w:pPr>
    <w:rPr>
      <w:rFonts w:cs="Times New Roman"/>
      <w:szCs w:val="24"/>
    </w:rPr>
  </w:style>
  <w:style w:type="paragraph" w:styleId="FootnoteText">
    <w:name w:val="footnote text"/>
    <w:basedOn w:val="Normal"/>
    <w:link w:val="FootnoteTextChar"/>
    <w:uiPriority w:val="99"/>
    <w:unhideWhenUsed/>
    <w:rsid w:val="0042771D"/>
    <w:pPr>
      <w:spacing w:after="0" w:line="240" w:lineRule="auto"/>
    </w:pPr>
    <w:rPr>
      <w:sz w:val="20"/>
      <w:szCs w:val="20"/>
    </w:rPr>
  </w:style>
  <w:style w:type="character" w:customStyle="1" w:styleId="FootnoteTextChar">
    <w:name w:val="Footnote Text Char"/>
    <w:basedOn w:val="DefaultParagraphFont"/>
    <w:link w:val="FootnoteText"/>
    <w:uiPriority w:val="99"/>
    <w:rsid w:val="0042771D"/>
    <w:rPr>
      <w:rFonts w:ascii="Times New Roman" w:hAnsi="Times New Roman"/>
      <w:sz w:val="20"/>
      <w:szCs w:val="20"/>
    </w:rPr>
  </w:style>
  <w:style w:type="character" w:styleId="FootnoteReference">
    <w:name w:val="footnote reference"/>
    <w:basedOn w:val="DefaultParagraphFont"/>
    <w:uiPriority w:val="99"/>
    <w:unhideWhenUsed/>
    <w:rsid w:val="0042771D"/>
    <w:rPr>
      <w:vertAlign w:val="superscript"/>
    </w:rPr>
  </w:style>
  <w:style w:type="character" w:styleId="Hyperlink">
    <w:name w:val="Hyperlink"/>
    <w:basedOn w:val="DefaultParagraphFont"/>
    <w:uiPriority w:val="99"/>
    <w:unhideWhenUsed/>
    <w:rsid w:val="00BB5882"/>
    <w:rPr>
      <w:color w:val="0563C1" w:themeColor="hyperlink"/>
      <w:u w:val="single"/>
    </w:rPr>
  </w:style>
  <w:style w:type="paragraph" w:styleId="ListParagraph">
    <w:name w:val="List Paragraph"/>
    <w:basedOn w:val="Normal"/>
    <w:uiPriority w:val="34"/>
    <w:qFormat/>
    <w:rsid w:val="00DB0CB6"/>
    <w:pPr>
      <w:ind w:left="720"/>
      <w:contextualSpacing/>
    </w:pPr>
  </w:style>
  <w:style w:type="paragraph" w:styleId="Title">
    <w:name w:val="Title"/>
    <w:basedOn w:val="Normal"/>
    <w:link w:val="TitleChar"/>
    <w:qFormat/>
    <w:rsid w:val="00CF7776"/>
    <w:pPr>
      <w:spacing w:after="0" w:line="240" w:lineRule="auto"/>
      <w:jc w:val="center"/>
    </w:pPr>
    <w:rPr>
      <w:rFonts w:eastAsia="Times New Roman" w:cs="Times New Roman"/>
      <w:szCs w:val="20"/>
    </w:rPr>
  </w:style>
  <w:style w:type="character" w:customStyle="1" w:styleId="TitleChar">
    <w:name w:val="Title Char"/>
    <w:basedOn w:val="DefaultParagraphFont"/>
    <w:link w:val="Title"/>
    <w:rsid w:val="00CF7776"/>
    <w:rPr>
      <w:rFonts w:ascii="Times New Roman" w:eastAsia="Times New Roman" w:hAnsi="Times New Roman" w:cs="Times New Roman"/>
      <w:sz w:val="24"/>
      <w:szCs w:val="20"/>
    </w:rPr>
  </w:style>
  <w:style w:type="paragraph" w:styleId="Caption">
    <w:name w:val="caption"/>
    <w:basedOn w:val="Normal"/>
    <w:next w:val="Normal"/>
    <w:qFormat/>
    <w:rsid w:val="00CF7776"/>
    <w:pPr>
      <w:spacing w:after="0" w:line="240" w:lineRule="auto"/>
      <w:jc w:val="center"/>
    </w:pPr>
    <w:rPr>
      <w:rFonts w:eastAsia="Times New Roman" w:cs="Times New Roman"/>
      <w:b/>
      <w:szCs w:val="20"/>
    </w:rPr>
  </w:style>
  <w:style w:type="paragraph" w:styleId="BalloonText">
    <w:name w:val="Balloon Text"/>
    <w:basedOn w:val="Normal"/>
    <w:link w:val="BalloonTextChar"/>
    <w:uiPriority w:val="99"/>
    <w:semiHidden/>
    <w:unhideWhenUsed/>
    <w:rsid w:val="00CF77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776"/>
    <w:rPr>
      <w:rFonts w:ascii="Segoe UI" w:hAnsi="Segoe UI" w:cs="Segoe UI"/>
      <w:sz w:val="18"/>
      <w:szCs w:val="18"/>
    </w:rPr>
  </w:style>
  <w:style w:type="paragraph" w:styleId="Header">
    <w:name w:val="header"/>
    <w:basedOn w:val="Normal"/>
    <w:link w:val="HeaderChar"/>
    <w:uiPriority w:val="99"/>
    <w:unhideWhenUsed/>
    <w:rsid w:val="00C76F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F1A"/>
    <w:rPr>
      <w:rFonts w:ascii="Times New Roman" w:hAnsi="Times New Roman"/>
      <w:sz w:val="24"/>
    </w:rPr>
  </w:style>
  <w:style w:type="paragraph" w:styleId="Footer">
    <w:name w:val="footer"/>
    <w:basedOn w:val="Normal"/>
    <w:link w:val="FooterChar"/>
    <w:uiPriority w:val="99"/>
    <w:unhideWhenUsed/>
    <w:rsid w:val="00C76F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F1A"/>
    <w:rPr>
      <w:rFonts w:ascii="Times New Roman" w:hAnsi="Times New Roman"/>
      <w:sz w:val="24"/>
    </w:rPr>
  </w:style>
  <w:style w:type="character" w:styleId="CommentReference">
    <w:name w:val="annotation reference"/>
    <w:basedOn w:val="DefaultParagraphFont"/>
    <w:uiPriority w:val="99"/>
    <w:semiHidden/>
    <w:unhideWhenUsed/>
    <w:rsid w:val="00525872"/>
    <w:rPr>
      <w:sz w:val="16"/>
      <w:szCs w:val="16"/>
    </w:rPr>
  </w:style>
  <w:style w:type="paragraph" w:styleId="CommentText">
    <w:name w:val="annotation text"/>
    <w:basedOn w:val="Normal"/>
    <w:link w:val="CommentTextChar"/>
    <w:uiPriority w:val="99"/>
    <w:unhideWhenUsed/>
    <w:rsid w:val="00525872"/>
    <w:pPr>
      <w:spacing w:line="240" w:lineRule="auto"/>
    </w:pPr>
    <w:rPr>
      <w:sz w:val="20"/>
      <w:szCs w:val="20"/>
    </w:rPr>
  </w:style>
  <w:style w:type="character" w:customStyle="1" w:styleId="CommentTextChar">
    <w:name w:val="Comment Text Char"/>
    <w:basedOn w:val="DefaultParagraphFont"/>
    <w:link w:val="CommentText"/>
    <w:uiPriority w:val="99"/>
    <w:rsid w:val="0052587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25872"/>
    <w:rPr>
      <w:b/>
      <w:bCs/>
    </w:rPr>
  </w:style>
  <w:style w:type="character" w:customStyle="1" w:styleId="CommentSubjectChar">
    <w:name w:val="Comment Subject Char"/>
    <w:basedOn w:val="CommentTextChar"/>
    <w:link w:val="CommentSubject"/>
    <w:uiPriority w:val="99"/>
    <w:semiHidden/>
    <w:rsid w:val="00525872"/>
    <w:rPr>
      <w:rFonts w:ascii="Times New Roman" w:hAnsi="Times New Roman"/>
      <w:b/>
      <w:bCs/>
      <w:sz w:val="20"/>
      <w:szCs w:val="20"/>
    </w:rPr>
  </w:style>
  <w:style w:type="paragraph" w:styleId="BodyText">
    <w:name w:val="Body Text"/>
    <w:basedOn w:val="Normal"/>
    <w:link w:val="BodyTextChar"/>
    <w:rsid w:val="00B62D71"/>
    <w:pPr>
      <w:spacing w:after="0" w:line="480" w:lineRule="auto"/>
    </w:pPr>
    <w:rPr>
      <w:rFonts w:eastAsia="Times New Roman" w:cs="Times New Roman"/>
      <w:szCs w:val="20"/>
    </w:rPr>
  </w:style>
  <w:style w:type="character" w:customStyle="1" w:styleId="BodyTextChar">
    <w:name w:val="Body Text Char"/>
    <w:basedOn w:val="DefaultParagraphFont"/>
    <w:link w:val="BodyText"/>
    <w:rsid w:val="00B62D71"/>
    <w:rPr>
      <w:rFonts w:ascii="Times New Roman" w:eastAsia="Times New Roman" w:hAnsi="Times New Roman" w:cs="Times New Roman"/>
      <w:sz w:val="24"/>
      <w:szCs w:val="20"/>
    </w:rPr>
  </w:style>
  <w:style w:type="paragraph" w:styleId="Signature">
    <w:name w:val="Signature"/>
    <w:basedOn w:val="Normal"/>
    <w:link w:val="SignatureChar"/>
    <w:rsid w:val="00B62D71"/>
    <w:pPr>
      <w:keepNext/>
      <w:keepLines/>
      <w:tabs>
        <w:tab w:val="right" w:pos="9360"/>
      </w:tabs>
      <w:spacing w:after="0" w:line="240" w:lineRule="auto"/>
      <w:ind w:left="4680"/>
      <w:jc w:val="left"/>
    </w:pPr>
    <w:rPr>
      <w:rFonts w:eastAsia="MS Mincho" w:cs="Times New Roman"/>
      <w:szCs w:val="20"/>
    </w:rPr>
  </w:style>
  <w:style w:type="character" w:customStyle="1" w:styleId="SignatureChar">
    <w:name w:val="Signature Char"/>
    <w:basedOn w:val="DefaultParagraphFont"/>
    <w:link w:val="Signature"/>
    <w:rsid w:val="00B62D71"/>
    <w:rPr>
      <w:rFonts w:ascii="Times New Roman" w:eastAsia="MS Mincho" w:hAnsi="Times New Roman" w:cs="Times New Roman"/>
      <w:sz w:val="24"/>
      <w:szCs w:val="20"/>
    </w:rPr>
  </w:style>
  <w:style w:type="character" w:customStyle="1" w:styleId="UnresolvedMention1">
    <w:name w:val="Unresolved Mention1"/>
    <w:basedOn w:val="DefaultParagraphFont"/>
    <w:uiPriority w:val="99"/>
    <w:semiHidden/>
    <w:unhideWhenUsed/>
    <w:rsid w:val="00360F5D"/>
    <w:rPr>
      <w:color w:val="605E5C"/>
      <w:shd w:val="clear" w:color="auto" w:fill="E1DFDD"/>
    </w:rPr>
  </w:style>
  <w:style w:type="table" w:styleId="TableGrid">
    <w:name w:val="Table Grid"/>
    <w:basedOn w:val="TableNormal"/>
    <w:uiPriority w:val="39"/>
    <w:rsid w:val="00DC2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07819"/>
    <w:pPr>
      <w:spacing w:after="0" w:line="240" w:lineRule="auto"/>
      <w:jc w:val="left"/>
    </w:pPr>
    <w:rPr>
      <w:rFonts w:ascii="Calibri" w:hAnsi="Calibri" w:cs="Calibri"/>
      <w:sz w:val="22"/>
    </w:rPr>
  </w:style>
  <w:style w:type="character" w:styleId="FollowedHyperlink">
    <w:name w:val="FollowedHyperlink"/>
    <w:basedOn w:val="DefaultParagraphFont"/>
    <w:uiPriority w:val="99"/>
    <w:semiHidden/>
    <w:unhideWhenUsed/>
    <w:rsid w:val="008E537E"/>
    <w:rPr>
      <w:color w:val="954F72" w:themeColor="followedHyperlink"/>
      <w:u w:val="single"/>
    </w:rPr>
  </w:style>
  <w:style w:type="paragraph" w:styleId="Revision">
    <w:name w:val="Revision"/>
    <w:hidden/>
    <w:uiPriority w:val="99"/>
    <w:semiHidden/>
    <w:rsid w:val="006D70F5"/>
    <w:pPr>
      <w:spacing w:after="0" w:line="240" w:lineRule="auto"/>
    </w:pPr>
    <w:rPr>
      <w:rFonts w:ascii="Times New Roman" w:hAnsi="Times New Roman"/>
      <w:sz w:val="24"/>
    </w:rPr>
  </w:style>
  <w:style w:type="paragraph" w:customStyle="1" w:styleId="Default">
    <w:name w:val="Default"/>
    <w:rsid w:val="00841533"/>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257F7A"/>
    <w:rPr>
      <w:b/>
      <w:bCs/>
    </w:rPr>
  </w:style>
  <w:style w:type="character" w:styleId="UnresolvedMention">
    <w:name w:val="Unresolved Mention"/>
    <w:basedOn w:val="DefaultParagraphFont"/>
    <w:uiPriority w:val="99"/>
    <w:semiHidden/>
    <w:unhideWhenUsed/>
    <w:rsid w:val="00D65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7685">
      <w:bodyDiv w:val="1"/>
      <w:marLeft w:val="0"/>
      <w:marRight w:val="0"/>
      <w:marTop w:val="0"/>
      <w:marBottom w:val="0"/>
      <w:divBdr>
        <w:top w:val="none" w:sz="0" w:space="0" w:color="auto"/>
        <w:left w:val="none" w:sz="0" w:space="0" w:color="auto"/>
        <w:bottom w:val="none" w:sz="0" w:space="0" w:color="auto"/>
        <w:right w:val="none" w:sz="0" w:space="0" w:color="auto"/>
      </w:divBdr>
      <w:divsChild>
        <w:div w:id="728576107">
          <w:marLeft w:val="274"/>
          <w:marRight w:val="0"/>
          <w:marTop w:val="150"/>
          <w:marBottom w:val="0"/>
          <w:divBdr>
            <w:top w:val="none" w:sz="0" w:space="0" w:color="auto"/>
            <w:left w:val="none" w:sz="0" w:space="0" w:color="auto"/>
            <w:bottom w:val="none" w:sz="0" w:space="0" w:color="auto"/>
            <w:right w:val="none" w:sz="0" w:space="0" w:color="auto"/>
          </w:divBdr>
        </w:div>
      </w:divsChild>
    </w:div>
    <w:div w:id="298075943">
      <w:bodyDiv w:val="1"/>
      <w:marLeft w:val="0"/>
      <w:marRight w:val="0"/>
      <w:marTop w:val="0"/>
      <w:marBottom w:val="0"/>
      <w:divBdr>
        <w:top w:val="none" w:sz="0" w:space="0" w:color="auto"/>
        <w:left w:val="none" w:sz="0" w:space="0" w:color="auto"/>
        <w:bottom w:val="none" w:sz="0" w:space="0" w:color="auto"/>
        <w:right w:val="none" w:sz="0" w:space="0" w:color="auto"/>
      </w:divBdr>
    </w:div>
    <w:div w:id="399787026">
      <w:bodyDiv w:val="1"/>
      <w:marLeft w:val="0"/>
      <w:marRight w:val="0"/>
      <w:marTop w:val="0"/>
      <w:marBottom w:val="0"/>
      <w:divBdr>
        <w:top w:val="none" w:sz="0" w:space="0" w:color="auto"/>
        <w:left w:val="none" w:sz="0" w:space="0" w:color="auto"/>
        <w:bottom w:val="none" w:sz="0" w:space="0" w:color="auto"/>
        <w:right w:val="none" w:sz="0" w:space="0" w:color="auto"/>
      </w:divBdr>
    </w:div>
    <w:div w:id="615479607">
      <w:bodyDiv w:val="1"/>
      <w:marLeft w:val="0"/>
      <w:marRight w:val="0"/>
      <w:marTop w:val="0"/>
      <w:marBottom w:val="0"/>
      <w:divBdr>
        <w:top w:val="none" w:sz="0" w:space="0" w:color="auto"/>
        <w:left w:val="none" w:sz="0" w:space="0" w:color="auto"/>
        <w:bottom w:val="none" w:sz="0" w:space="0" w:color="auto"/>
        <w:right w:val="none" w:sz="0" w:space="0" w:color="auto"/>
      </w:divBdr>
    </w:div>
    <w:div w:id="892234813">
      <w:bodyDiv w:val="1"/>
      <w:marLeft w:val="0"/>
      <w:marRight w:val="0"/>
      <w:marTop w:val="0"/>
      <w:marBottom w:val="0"/>
      <w:divBdr>
        <w:top w:val="none" w:sz="0" w:space="0" w:color="auto"/>
        <w:left w:val="none" w:sz="0" w:space="0" w:color="auto"/>
        <w:bottom w:val="none" w:sz="0" w:space="0" w:color="auto"/>
        <w:right w:val="none" w:sz="0" w:space="0" w:color="auto"/>
      </w:divBdr>
    </w:div>
    <w:div w:id="1007172016">
      <w:bodyDiv w:val="1"/>
      <w:marLeft w:val="0"/>
      <w:marRight w:val="0"/>
      <w:marTop w:val="0"/>
      <w:marBottom w:val="0"/>
      <w:divBdr>
        <w:top w:val="none" w:sz="0" w:space="0" w:color="auto"/>
        <w:left w:val="none" w:sz="0" w:space="0" w:color="auto"/>
        <w:bottom w:val="none" w:sz="0" w:space="0" w:color="auto"/>
        <w:right w:val="none" w:sz="0" w:space="0" w:color="auto"/>
      </w:divBdr>
    </w:div>
    <w:div w:id="1134443735">
      <w:bodyDiv w:val="1"/>
      <w:marLeft w:val="0"/>
      <w:marRight w:val="0"/>
      <w:marTop w:val="0"/>
      <w:marBottom w:val="0"/>
      <w:divBdr>
        <w:top w:val="none" w:sz="0" w:space="0" w:color="auto"/>
        <w:left w:val="none" w:sz="0" w:space="0" w:color="auto"/>
        <w:bottom w:val="none" w:sz="0" w:space="0" w:color="auto"/>
        <w:right w:val="none" w:sz="0" w:space="0" w:color="auto"/>
      </w:divBdr>
    </w:div>
    <w:div w:id="1305158317">
      <w:bodyDiv w:val="1"/>
      <w:marLeft w:val="0"/>
      <w:marRight w:val="0"/>
      <w:marTop w:val="0"/>
      <w:marBottom w:val="0"/>
      <w:divBdr>
        <w:top w:val="none" w:sz="0" w:space="0" w:color="auto"/>
        <w:left w:val="none" w:sz="0" w:space="0" w:color="auto"/>
        <w:bottom w:val="none" w:sz="0" w:space="0" w:color="auto"/>
        <w:right w:val="none" w:sz="0" w:space="0" w:color="auto"/>
      </w:divBdr>
      <w:divsChild>
        <w:div w:id="476848234">
          <w:marLeft w:val="374"/>
          <w:marRight w:val="0"/>
          <w:marTop w:val="0"/>
          <w:marBottom w:val="0"/>
          <w:divBdr>
            <w:top w:val="none" w:sz="0" w:space="0" w:color="auto"/>
            <w:left w:val="none" w:sz="0" w:space="0" w:color="auto"/>
            <w:bottom w:val="none" w:sz="0" w:space="0" w:color="auto"/>
            <w:right w:val="none" w:sz="0" w:space="0" w:color="auto"/>
          </w:divBdr>
        </w:div>
        <w:div w:id="884218209">
          <w:marLeft w:val="821"/>
          <w:marRight w:val="0"/>
          <w:marTop w:val="0"/>
          <w:marBottom w:val="0"/>
          <w:divBdr>
            <w:top w:val="none" w:sz="0" w:space="0" w:color="auto"/>
            <w:left w:val="none" w:sz="0" w:space="0" w:color="auto"/>
            <w:bottom w:val="none" w:sz="0" w:space="0" w:color="auto"/>
            <w:right w:val="none" w:sz="0" w:space="0" w:color="auto"/>
          </w:divBdr>
        </w:div>
        <w:div w:id="1048645922">
          <w:marLeft w:val="821"/>
          <w:marRight w:val="0"/>
          <w:marTop w:val="0"/>
          <w:marBottom w:val="0"/>
          <w:divBdr>
            <w:top w:val="none" w:sz="0" w:space="0" w:color="auto"/>
            <w:left w:val="none" w:sz="0" w:space="0" w:color="auto"/>
            <w:bottom w:val="none" w:sz="0" w:space="0" w:color="auto"/>
            <w:right w:val="none" w:sz="0" w:space="0" w:color="auto"/>
          </w:divBdr>
        </w:div>
        <w:div w:id="1699744021">
          <w:marLeft w:val="374"/>
          <w:marRight w:val="0"/>
          <w:marTop w:val="0"/>
          <w:marBottom w:val="0"/>
          <w:divBdr>
            <w:top w:val="none" w:sz="0" w:space="0" w:color="auto"/>
            <w:left w:val="none" w:sz="0" w:space="0" w:color="auto"/>
            <w:bottom w:val="none" w:sz="0" w:space="0" w:color="auto"/>
            <w:right w:val="none" w:sz="0" w:space="0" w:color="auto"/>
          </w:divBdr>
        </w:div>
        <w:div w:id="1333601023">
          <w:marLeft w:val="821"/>
          <w:marRight w:val="0"/>
          <w:marTop w:val="0"/>
          <w:marBottom w:val="0"/>
          <w:divBdr>
            <w:top w:val="none" w:sz="0" w:space="0" w:color="auto"/>
            <w:left w:val="none" w:sz="0" w:space="0" w:color="auto"/>
            <w:bottom w:val="none" w:sz="0" w:space="0" w:color="auto"/>
            <w:right w:val="none" w:sz="0" w:space="0" w:color="auto"/>
          </w:divBdr>
        </w:div>
        <w:div w:id="1752896087">
          <w:marLeft w:val="821"/>
          <w:marRight w:val="0"/>
          <w:marTop w:val="0"/>
          <w:marBottom w:val="0"/>
          <w:divBdr>
            <w:top w:val="none" w:sz="0" w:space="0" w:color="auto"/>
            <w:left w:val="none" w:sz="0" w:space="0" w:color="auto"/>
            <w:bottom w:val="none" w:sz="0" w:space="0" w:color="auto"/>
            <w:right w:val="none" w:sz="0" w:space="0" w:color="auto"/>
          </w:divBdr>
        </w:div>
        <w:div w:id="1994291397">
          <w:marLeft w:val="821"/>
          <w:marRight w:val="0"/>
          <w:marTop w:val="0"/>
          <w:marBottom w:val="0"/>
          <w:divBdr>
            <w:top w:val="none" w:sz="0" w:space="0" w:color="auto"/>
            <w:left w:val="none" w:sz="0" w:space="0" w:color="auto"/>
            <w:bottom w:val="none" w:sz="0" w:space="0" w:color="auto"/>
            <w:right w:val="none" w:sz="0" w:space="0" w:color="auto"/>
          </w:divBdr>
        </w:div>
      </w:divsChild>
    </w:div>
    <w:div w:id="201564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chele@competitivepower.org"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interchange.puc.texas.gov/Documents/55566_6_13369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42215-07D7-474B-ABCC-FFA91C19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Calpine</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Schleimer</dc:creator>
  <cp:keywords/>
  <dc:description/>
  <cp:lastModifiedBy>TCPA - TX Competitive Power Advocates</cp:lastModifiedBy>
  <cp:revision>2</cp:revision>
  <cp:lastPrinted>2023-10-25T19:20:00Z</cp:lastPrinted>
  <dcterms:created xsi:type="dcterms:W3CDTF">2023-10-25T19:24:00Z</dcterms:created>
  <dcterms:modified xsi:type="dcterms:W3CDTF">2023-10-25T19:24:00Z</dcterms:modified>
</cp:coreProperties>
</file>